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rFonts w:ascii="Calibri" w:hAnsi="Calibri" w:cs="Calibri" w:asciiTheme="minorHAnsi" w:cstheme="minorHAnsi" w:hAnsiTheme="minorHAnsi"/>
          <w:sz w:val="22"/>
          <w:szCs w:val="22"/>
        </w:rPr>
      </w:pPr>
      <w:r>
        <w:rPr>
          <w:rFonts w:cs="Calibri" w:ascii="Calibri" w:hAnsi="Calibri" w:asciiTheme="minorHAnsi" w:cstheme="minorHAnsi" w:hAnsiTheme="minorHAnsi"/>
          <w:i/>
          <w:iCs/>
          <w:sz w:val="22"/>
          <w:szCs w:val="22"/>
        </w:rPr>
        <w:t>Załącznik do KARTY OCENY ZAŁOŻEŃ PROJEKTU INFORMATYCZNEGO NR P538</w:t>
      </w:r>
    </w:p>
    <w:p>
      <w:pPr>
        <w:pStyle w:val="Normal"/>
        <w:jc w:val="center"/>
        <w:rPr/>
      </w:pPr>
      <w:r>
        <w:rPr/>
      </w:r>
    </w:p>
    <w:tbl>
      <w:tblPr>
        <w:tblW w:w="15388"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561"/>
        <w:gridCol w:w="1134"/>
        <w:gridCol w:w="2127"/>
        <w:gridCol w:w="5645"/>
        <w:gridCol w:w="2093"/>
        <w:gridCol w:w="3827"/>
      </w:tblGrid>
      <w:tr>
        <w:trPr/>
        <w:tc>
          <w:tcPr>
            <w:tcW w:w="15387" w:type="dxa"/>
            <w:gridSpan w:val="6"/>
            <w:tcBorders>
              <w:top w:val="single" w:sz="4" w:space="0" w:color="000000"/>
              <w:left w:val="single" w:sz="4" w:space="0" w:color="000000"/>
              <w:bottom w:val="single" w:sz="4" w:space="0" w:color="000000"/>
              <w:right w:val="single" w:sz="4" w:space="0" w:color="000000"/>
            </w:tcBorders>
            <w:vAlign w:val="center"/>
          </w:tcPr>
          <w:p>
            <w:pPr>
              <w:pStyle w:val="Normal"/>
              <w:spacing w:before="120" w:after="120"/>
              <w:rPr>
                <w:rFonts w:ascii="Calibri" w:hAnsi="Calibri" w:cs="Calibri" w:asciiTheme="minorHAnsi" w:cstheme="minorHAnsi" w:hAnsiTheme="minorHAnsi"/>
                <w:b/>
                <w:i/>
                <w:i/>
                <w:sz w:val="22"/>
                <w:szCs w:val="22"/>
              </w:rPr>
            </w:pPr>
            <w:r>
              <w:rPr>
                <w:rFonts w:cs="Calibri" w:ascii="Calibri" w:hAnsi="Calibri" w:asciiTheme="minorHAnsi" w:cstheme="minorHAnsi" w:hAnsiTheme="minorHAnsi"/>
                <w:b/>
                <w:i/>
                <w:sz w:val="22"/>
                <w:szCs w:val="22"/>
              </w:rPr>
              <w:t>Nazwa dokumentu:</w:t>
            </w:r>
            <w:r>
              <w:rPr>
                <w:rFonts w:cs="Calibri" w:ascii="Calibri" w:hAnsi="Calibri" w:asciiTheme="minorHAnsi" w:cstheme="minorHAnsi" w:hAnsiTheme="minorHAnsi"/>
                <w:i/>
                <w:sz w:val="22"/>
                <w:szCs w:val="22"/>
              </w:rPr>
              <w:t xml:space="preserve"> Opis założeń projektu informatycznego pn.</w:t>
            </w:r>
            <w:r>
              <w:rPr>
                <w:rFonts w:cs="Calibri" w:ascii="Calibri" w:hAnsi="Calibri" w:asciiTheme="minorHAnsi" w:cstheme="minorHAnsi" w:hAnsiTheme="minorHAnsi"/>
                <w:b/>
                <w:i/>
                <w:sz w:val="22"/>
                <w:szCs w:val="22"/>
              </w:rPr>
              <w:t xml:space="preserve"> „</w:t>
            </w:r>
            <w:bookmarkStart w:id="0" w:name="_Hlk214543372"/>
            <w:r>
              <w:rPr>
                <w:rFonts w:cs="Calibri" w:ascii="Calibri" w:hAnsi="Calibri" w:asciiTheme="minorHAnsi" w:cstheme="minorHAnsi" w:hAnsiTheme="minorHAnsi"/>
                <w:b/>
                <w:bCs/>
                <w:i/>
                <w:sz w:val="22"/>
                <w:szCs w:val="22"/>
              </w:rPr>
              <w:t>Cyfrowe archiwum polskiego teatru formy. Digitalizacja i naukowe udostępnienie unikalnych zasobów źródłowych Teatru Lalki Tęcza w Słupsku</w:t>
            </w:r>
            <w:r>
              <w:rPr>
                <w:rFonts w:cs="Calibri" w:ascii="Calibri" w:hAnsi="Calibri" w:asciiTheme="minorHAnsi" w:cstheme="minorHAnsi" w:hAnsiTheme="minorHAnsi"/>
                <w:b/>
                <w:i/>
                <w:sz w:val="22"/>
                <w:szCs w:val="22"/>
              </w:rPr>
              <w:t>”</w:t>
            </w:r>
            <w:bookmarkEnd w:id="0"/>
            <w:r>
              <w:rPr>
                <w:rFonts w:cs="Calibri" w:ascii="Calibri" w:hAnsi="Calibri" w:asciiTheme="minorHAnsi" w:cstheme="minorHAnsi" w:hAnsiTheme="minorHAnsi"/>
                <w:b/>
                <w:i/>
                <w:sz w:val="22"/>
                <w:szCs w:val="22"/>
              </w:rPr>
              <w:t xml:space="preserve"> </w:t>
            </w:r>
            <w:r>
              <w:rPr>
                <w:rFonts w:cs="Calibri" w:ascii="Calibri" w:hAnsi="Calibri" w:asciiTheme="minorHAnsi" w:cstheme="minorHAnsi" w:hAnsiTheme="minorHAnsi"/>
                <w:bCs/>
                <w:i/>
                <w:sz w:val="22"/>
                <w:szCs w:val="22"/>
              </w:rPr>
              <w:t>– Wnioskodawca: Minister Kultury i Dziedzictwa Narodowego, Beneficjent: Teatr Lalki Tęcza w Słupsku.</w:t>
            </w:r>
            <w:r>
              <w:rPr>
                <w:rFonts w:cs="Calibri" w:ascii="Calibri" w:hAnsi="Calibri" w:asciiTheme="minorHAnsi" w:cstheme="minorHAnsi" w:hAnsiTheme="minorHAnsi"/>
                <w:b/>
                <w:i/>
                <w:sz w:val="22"/>
                <w:szCs w:val="22"/>
              </w:rPr>
              <w:t xml:space="preserve"> </w:t>
            </w:r>
          </w:p>
        </w:tc>
      </w:tr>
      <w:tr>
        <w:trPr/>
        <w:tc>
          <w:tcPr>
            <w:tcW w:w="561"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Lp.</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Organ wnoszący uwagi</w:t>
            </w:r>
          </w:p>
        </w:tc>
        <w:tc>
          <w:tcPr>
            <w:tcW w:w="212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Jednostka redakcyjna, do której wnoszone są uwagi</w:t>
            </w:r>
          </w:p>
        </w:tc>
        <w:tc>
          <w:tcPr>
            <w:tcW w:w="5645"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Treść uwagi</w:t>
            </w:r>
          </w:p>
        </w:tc>
        <w:tc>
          <w:tcPr>
            <w:tcW w:w="2093"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Propozycja zmian zapisu</w:t>
            </w:r>
          </w:p>
        </w:tc>
        <w:tc>
          <w:tcPr>
            <w:tcW w:w="382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Odniesienie do uwagi</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sz w:val="22"/>
                <w:szCs w:val="22"/>
              </w:rPr>
              <w:t xml:space="preserve">Część ogólna </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Informacje na temat źródła finansowania należy przedstawić w następujący sposób:</w:t>
            </w:r>
          </w:p>
          <w:p>
            <w:pPr>
              <w:pStyle w:val="ListParagraph"/>
              <w:numPr>
                <w:ilvl w:val="0"/>
                <w:numId w:val="12"/>
              </w:numPr>
              <w:rPr>
                <w:rFonts w:ascii="Calibri" w:hAnsi="Calibri" w:cs="Calibri"/>
                <w:sz w:val="22"/>
                <w:szCs w:val="22"/>
              </w:rPr>
            </w:pPr>
            <w:r>
              <w:rPr>
                <w:rFonts w:cs="Calibri" w:ascii="Calibri" w:hAnsi="Calibri"/>
                <w:sz w:val="22"/>
                <w:szCs w:val="22"/>
              </w:rPr>
              <w:t xml:space="preserve">nazwa programu operacyjnego oraz nazwa i numer działania lub poddziałania zgodnie ze Szczegółowym Opisem Priorytetów, np.: FERC, Działanie 02.03 Cyfrowa dostępność i ponowne wykorzystanie informacji, </w:t>
            </w:r>
          </w:p>
          <w:p>
            <w:pPr>
              <w:pStyle w:val="ListParagraph"/>
              <w:numPr>
                <w:ilvl w:val="0"/>
                <w:numId w:val="12"/>
              </w:numPr>
              <w:rPr>
                <w:rFonts w:ascii="Calibri" w:hAnsi="Calibri" w:cs="Calibri"/>
                <w:sz w:val="22"/>
                <w:szCs w:val="22"/>
              </w:rPr>
            </w:pPr>
            <w:r>
              <w:rPr>
                <w:rFonts w:cs="Calibri" w:ascii="Calibri" w:hAnsi="Calibri"/>
                <w:sz w:val="22"/>
                <w:szCs w:val="22"/>
              </w:rPr>
              <w:t>budżet państwa – nazwa i numer określonej części budżetowej.</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Skorygowano opis źródła finansowania: Program FERC, Działanie 02.03 Cyfrowa dostępność i ponowne wykorzystanie informacji. Wkład krajowy przypisano do budżetu państwa – Część 27: Informatyzacja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sz w:val="22"/>
                <w:szCs w:val="22"/>
              </w:rPr>
              <w:t>1.1 Identyfikacja problemów i potrzeb</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 xml:space="preserve">W tym punkcie należy: </w:t>
            </w:r>
          </w:p>
          <w:p>
            <w:pPr>
              <w:pStyle w:val="ListParagraph"/>
              <w:numPr>
                <w:ilvl w:val="0"/>
                <w:numId w:val="16"/>
              </w:numPr>
              <w:rPr>
                <w:rFonts w:ascii="Calibri" w:hAnsi="Calibri" w:cs="Calibri"/>
                <w:sz w:val="22"/>
                <w:szCs w:val="22"/>
              </w:rPr>
            </w:pPr>
            <w:r>
              <w:rPr>
                <w:rFonts w:cs="Calibri" w:ascii="Calibri" w:hAnsi="Calibri"/>
                <w:sz w:val="22"/>
                <w:szCs w:val="22"/>
              </w:rPr>
              <w:t xml:space="preserve">wyjaśnić wszystkie zagadnienia, o których mowa w celu przedsięwzięcia i wyjaśnić czym są produkty, o których w mowa w pkt 2.2-2.4, </w:t>
            </w:r>
          </w:p>
          <w:p>
            <w:pPr>
              <w:pStyle w:val="ListParagraph"/>
              <w:numPr>
                <w:ilvl w:val="0"/>
                <w:numId w:val="16"/>
              </w:numPr>
              <w:rPr>
                <w:rFonts w:ascii="Calibri" w:hAnsi="Calibri" w:cs="Calibri"/>
                <w:sz w:val="22"/>
                <w:szCs w:val="22"/>
              </w:rPr>
            </w:pPr>
            <w:r>
              <w:rPr>
                <w:rFonts w:cs="Calibri" w:ascii="Calibri" w:hAnsi="Calibri"/>
                <w:sz w:val="22"/>
                <w:szCs w:val="22"/>
              </w:rPr>
              <w:t>opisać jak produkty niniejszego przedsięwzięcia wpływają na problemy i braki, z którymi w obecnym stanie borykają się interesariusze nie mając ich do dyspozycji.</w:t>
            </w:r>
          </w:p>
          <w:p>
            <w:pPr>
              <w:pStyle w:val="Normal"/>
              <w:rPr>
                <w:rFonts w:ascii="Calibri" w:hAnsi="Calibri" w:cs="Calibri"/>
                <w:sz w:val="22"/>
                <w:szCs w:val="22"/>
              </w:rPr>
            </w:pPr>
            <w:r>
              <w:rPr>
                <w:rFonts w:cs="Calibri" w:ascii="Calibri" w:hAnsi="Calibri"/>
                <w:sz w:val="22"/>
                <w:szCs w:val="22"/>
              </w:rPr>
            </w:r>
          </w:p>
          <w:p>
            <w:pPr>
              <w:pStyle w:val="Normal"/>
              <w:rPr>
                <w:rFonts w:ascii="Calibri" w:hAnsi="Calibri" w:cs="Calibri"/>
                <w:sz w:val="22"/>
                <w:szCs w:val="22"/>
              </w:rPr>
            </w:pPr>
            <w:r>
              <w:rPr>
                <w:rFonts w:cs="Calibri" w:ascii="Calibri" w:hAnsi="Calibri"/>
                <w:sz w:val="22"/>
                <w:szCs w:val="22"/>
              </w:rPr>
              <w:t>Istnienie rozbieżności między stanem istniejącym a oczekiwanym decyduje bowiem o zasadności realizacji projektu i przeprowadzanych digitalizacji czy budowy nowych lub modyfikacji systemów teleinformatycznych lub ich modułów, rejestrów, e-usług, API.</w:t>
            </w:r>
          </w:p>
          <w:p>
            <w:pPr>
              <w:pStyle w:val="Normal"/>
              <w:rPr>
                <w:rFonts w:ascii="Calibri" w:hAnsi="Calibri" w:cs="Calibri"/>
                <w:sz w:val="22"/>
                <w:szCs w:val="22"/>
              </w:rPr>
            </w:pPr>
            <w:r>
              <w:rPr>
                <w:rFonts w:cs="Calibri" w:ascii="Calibri" w:hAnsi="Calibri"/>
                <w:sz w:val="22"/>
                <w:szCs w:val="22"/>
              </w:rPr>
              <w:t>Informacje w części opisowej nie powinny powtarzać się w tabeli poniżej, ani w punkcie 1.2.</w:t>
            </w:r>
          </w:p>
          <w:p>
            <w:pPr>
              <w:pStyle w:val="Normal"/>
              <w:rPr>
                <w:rFonts w:ascii="Calibri" w:hAnsi="Calibri" w:cs="Calibri"/>
                <w:sz w:val="22"/>
                <w:szCs w:val="22"/>
              </w:rPr>
            </w:pPr>
            <w:r>
              <w:rPr>
                <w:rFonts w:cs="Calibri" w:ascii="Calibri" w:hAnsi="Calibri"/>
                <w:sz w:val="22"/>
                <w:szCs w:val="22"/>
              </w:rPr>
              <w:t>Informacje o stanie obecnym należy zawrzeć w pkt. 1.2, a problemy w tabeli interesariuszy w pkt. 1.1.</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W sekcji opisowej wyjaśniono wpływ planowanych produktów (CMS, API, Portal) na eliminację barier u interesariuszy. Usunięto powtórzenia. Opis stanu obecnego przeniesiono do pkt 1.2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sz w:val="22"/>
                <w:szCs w:val="22"/>
              </w:rPr>
              <w:t>1.1 Identyfikacja problemów i potrzeb</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Wśród grup interesariuszy powinien znaleźć się Wnioskodawca i Beneficjent, tj. instytucje albo pracownicy instytucji.</w:t>
            </w:r>
          </w:p>
          <w:p>
            <w:pPr>
              <w:pStyle w:val="Normal"/>
              <w:rPr>
                <w:rFonts w:ascii="Calibri" w:hAnsi="Calibri" w:cs="Calibri"/>
                <w:sz w:val="22"/>
                <w:szCs w:val="22"/>
              </w:rPr>
            </w:pPr>
            <w:r>
              <w:rPr>
                <w:rFonts w:cs="Calibri" w:ascii="Calibri" w:hAnsi="Calibri"/>
                <w:sz w:val="22"/>
                <w:szCs w:val="22"/>
              </w:rPr>
              <w:t>Interesariuszami nie mogą być systemy teleinformatyczne czy serwisy internetowe (Federacja Bibliotek Cyfrowych, Europeana).</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Do tabeli interesariuszy dodano Wnioskodawcę i Beneficjenta (pracowników instytucji). Usunięto systemy zewnętrzne (FBC, Europeana), zastępując je grupą „Agregatory danych i instytucje kultury”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sz w:val="22"/>
                <w:szCs w:val="22"/>
              </w:rPr>
              <w:t>1.1 Identyfikacja problemów i potrzeb</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W kolumnie „Zidentyfikowany problem”:</w:t>
            </w:r>
          </w:p>
          <w:p>
            <w:pPr>
              <w:pStyle w:val="ListParagraph"/>
              <w:numPr>
                <w:ilvl w:val="0"/>
                <w:numId w:val="26"/>
              </w:numPr>
              <w:rPr>
                <w:rFonts w:ascii="Calibri" w:hAnsi="Calibri" w:cs="Calibri"/>
                <w:sz w:val="22"/>
                <w:szCs w:val="22"/>
              </w:rPr>
            </w:pPr>
            <w:r>
              <w:rPr>
                <w:rFonts w:cs="Calibri" w:ascii="Calibri" w:hAnsi="Calibri"/>
                <w:sz w:val="22"/>
                <w:szCs w:val="22"/>
              </w:rPr>
              <w:t>należy precyzyjnie wskazać problemy każdej grupy interesariuszy, które zostaną rozwiązane w wyniku wdrożenia produktów przedsięwzięcia;</w:t>
            </w:r>
          </w:p>
          <w:p>
            <w:pPr>
              <w:pStyle w:val="ListParagraph"/>
              <w:numPr>
                <w:ilvl w:val="0"/>
                <w:numId w:val="26"/>
              </w:numPr>
              <w:rPr>
                <w:rFonts w:ascii="Calibri" w:hAnsi="Calibri" w:cs="Calibri"/>
                <w:sz w:val="22"/>
                <w:szCs w:val="22"/>
              </w:rPr>
            </w:pPr>
            <w:r>
              <w:rPr>
                <w:rFonts w:cs="Calibri" w:ascii="Calibri" w:hAnsi="Calibri"/>
                <w:sz w:val="22"/>
                <w:szCs w:val="22"/>
              </w:rPr>
              <w:t>należy wymieniać problemy w punktach, rozpoczynając nazwy każdego problemu od sformułowań typu „brak…”, „niewystarczający…”, „ograniczony…”;</w:t>
            </w:r>
          </w:p>
          <w:p>
            <w:pPr>
              <w:pStyle w:val="ListParagraph"/>
              <w:numPr>
                <w:ilvl w:val="0"/>
                <w:numId w:val="26"/>
              </w:numPr>
              <w:rPr>
                <w:rFonts w:ascii="Calibri" w:hAnsi="Calibri" w:cs="Calibri"/>
                <w:sz w:val="22"/>
                <w:szCs w:val="22"/>
              </w:rPr>
            </w:pPr>
            <w:r>
              <w:rPr>
                <w:rFonts w:cs="Calibri" w:ascii="Calibri" w:hAnsi="Calibri"/>
                <w:sz w:val="22"/>
                <w:szCs w:val="22"/>
              </w:rPr>
              <w:t xml:space="preserve">jeden problem może powtarzać się w wielu grupach interesariuszy. </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Zmodyfikowano kolumnę problemów. Wszystkie wpisy sformułowano w punktach, rozpoczynając od słów: „Brak...”, „Niewystarczający...”, „Ograniczony...”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sz w:val="22"/>
                <w:szCs w:val="22"/>
              </w:rPr>
              <w:t>1.1 Identyfikacja problemów i potrzeb</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 xml:space="preserve">W kolumnie „Szacowana wielkość grupy”: </w:t>
            </w:r>
          </w:p>
          <w:p>
            <w:pPr>
              <w:pStyle w:val="ListParagraph"/>
              <w:numPr>
                <w:ilvl w:val="0"/>
                <w:numId w:val="27"/>
              </w:numPr>
              <w:rPr>
                <w:rFonts w:ascii="Calibri" w:hAnsi="Calibri" w:cs="Calibri"/>
                <w:sz w:val="22"/>
                <w:szCs w:val="22"/>
              </w:rPr>
            </w:pPr>
            <w:r>
              <w:rPr>
                <w:rFonts w:cs="Calibri" w:ascii="Calibri" w:hAnsi="Calibri"/>
                <w:sz w:val="22"/>
                <w:szCs w:val="22"/>
              </w:rPr>
              <w:t xml:space="preserve">należy podać wyłącznie szacowaną wartość liczbową w odniesieniu do interesariusza; </w:t>
            </w:r>
          </w:p>
          <w:p>
            <w:pPr>
              <w:pStyle w:val="ListParagraph"/>
              <w:numPr>
                <w:ilvl w:val="0"/>
                <w:numId w:val="27"/>
              </w:numPr>
              <w:rPr>
                <w:rFonts w:ascii="Calibri" w:hAnsi="Calibri" w:cs="Calibri"/>
                <w:sz w:val="22"/>
                <w:szCs w:val="22"/>
              </w:rPr>
            </w:pPr>
            <w:r>
              <w:rPr>
                <w:rFonts w:cs="Calibri" w:ascii="Calibri" w:hAnsi="Calibri"/>
                <w:sz w:val="22"/>
                <w:szCs w:val="22"/>
              </w:rPr>
              <w:t xml:space="preserve">ze względu, iż jest to szacunek, nie powinna zawierać zwrotów „ok.”, „około” oraz innych doprecyzowujących informacji (nazwa grupy interesariuszy powinna jednoznacznie wskazywać, kogo dotyczy wartość). </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W kolumnie „Szacowana wielkość grupy” pozostawiono wyłącznie czyste wartości liczbowe (np. </w:t>
            </w:r>
            <w:r>
              <w:rPr>
                <w:rStyle w:val="Tekstrdowy"/>
                <w:rFonts w:asciiTheme="minorHAnsi" w:cstheme="minorHAnsi" w:hAnsiTheme="minorHAnsi" w:ascii="monospace" w:hAnsi="monospace"/>
                <w:b w:val="false"/>
                <w:strike w:val="false"/>
                <w:dstrike w:val="false"/>
                <w:sz w:val="21"/>
                <w:szCs w:val="22"/>
                <w:u w:val="none"/>
                <w:effect w:val="none"/>
                <w:bdr w:val="single" w:sz="2" w:space="1" w:color="F0F2F5"/>
              </w:rPr>
              <w:t>15</w:t>
            </w:r>
            <w:r>
              <w:rPr>
                <w:rFonts w:cs="Calibri" w:cstheme="minorHAnsi" w:ascii="Calibri" w:hAnsi="Calibri"/>
                <w:sz w:val="22"/>
                <w:szCs w:val="22"/>
              </w:rPr>
              <w:t xml:space="preserve">, </w:t>
            </w:r>
            <w:r>
              <w:rPr>
                <w:rStyle w:val="Tekstrdowy"/>
                <w:rFonts w:asciiTheme="minorHAnsi" w:cstheme="minorHAnsi" w:hAnsiTheme="minorHAnsi" w:ascii="monospace" w:hAnsi="monospace"/>
                <w:b w:val="false"/>
                <w:strike w:val="false"/>
                <w:dstrike w:val="false"/>
                <w:sz w:val="21"/>
                <w:szCs w:val="22"/>
                <w:u w:val="none"/>
                <w:effect w:val="none"/>
                <w:bdr w:val="single" w:sz="2" w:space="1" w:color="F0F2F5"/>
              </w:rPr>
              <w:t>12000</w:t>
            </w:r>
            <w:r>
              <w:rPr>
                <w:rFonts w:cs="Calibri" w:cstheme="minorHAnsi" w:ascii="Calibri" w:hAnsi="Calibri"/>
                <w:sz w:val="22"/>
                <w:szCs w:val="22"/>
              </w:rPr>
              <w:t xml:space="preserve">). Usunięto zwroty słowne typu „ok.”, „około”, „do”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sz w:val="22"/>
                <w:szCs w:val="22"/>
              </w:rPr>
              <w:t>1.2. Opis stanu obecnego</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W opisie wskazano, że „Teatr nie posiada repozytorium cyfrowego (CMS), standardów metadanych (Dublin Core) ani protokołu wymiany danych (OAI-PMH), przez co zbiory są odcięte od krajowych sieci akademickich.”</w:t>
            </w:r>
          </w:p>
          <w:p>
            <w:pPr>
              <w:pStyle w:val="Normal"/>
              <w:rPr>
                <w:rFonts w:ascii="Calibri" w:hAnsi="Calibri" w:cs="Calibri"/>
                <w:sz w:val="22"/>
                <w:szCs w:val="22"/>
              </w:rPr>
            </w:pPr>
            <w:r>
              <w:rPr>
                <w:rFonts w:cs="Calibri" w:ascii="Calibri" w:hAnsi="Calibri"/>
                <w:sz w:val="22"/>
                <w:szCs w:val="22"/>
              </w:rPr>
            </w:r>
          </w:p>
          <w:p>
            <w:pPr>
              <w:pStyle w:val="Normal"/>
              <w:rPr>
                <w:rFonts w:ascii="Calibri" w:hAnsi="Calibri" w:cs="Calibri"/>
                <w:sz w:val="22"/>
                <w:szCs w:val="22"/>
              </w:rPr>
            </w:pPr>
            <w:r>
              <w:rPr>
                <w:rFonts w:cs="Calibri" w:ascii="Calibri" w:hAnsi="Calibri"/>
                <w:sz w:val="22"/>
                <w:szCs w:val="22"/>
              </w:rPr>
              <w:t>Proszę o zweryfikowanie możliwości wykorzystania standardów metadanych opracowanych przez inne instytucje związane z działalnością teatralną, możliwości wykorzystania platformy Kronik@ w zakresie infrastruktury lub publikowania danych w platformy Kronik@ w celu upowszechnienia zdigitalizowanych zasobów.</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Dodano zapisy o wdrożeniu standardu metadanych Dublin Core z adaptacją słowników Instytutu Teatralnego i IS PAN. Wskazano integrację z platformą KRONIK@ jako darmowym repozytorium zapasowym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sz w:val="22"/>
                <w:szCs w:val="22"/>
              </w:rPr>
              <w:t>2.1. Cele i korzyści wynikające z projektu</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 xml:space="preserve">Nazwa celu powinna być krótka i zwięzła. </w:t>
            </w:r>
          </w:p>
          <w:p>
            <w:pPr>
              <w:pStyle w:val="Normal"/>
              <w:rPr>
                <w:rFonts w:ascii="Calibri" w:hAnsi="Calibri" w:cs="Calibri"/>
                <w:sz w:val="22"/>
                <w:szCs w:val="22"/>
              </w:rPr>
            </w:pPr>
            <w:r>
              <w:rPr>
                <w:rFonts w:cs="Calibri" w:ascii="Calibri" w:hAnsi="Calibri"/>
                <w:sz w:val="22"/>
                <w:szCs w:val="22"/>
              </w:rPr>
              <w:t>Przykładowo może brzmieć w taki sposób: „Zwiększenie otwartości zasobów nauki oraz poprawa dostępu do informacji sektora publicznego o charakterze teatrologicznym poprzez profesjonalną digitalizację, naukowe opracowanie i udostępnienie online unikalnego archiwum Teatru Lalki Tęcza w Słupsku”.</w:t>
            </w:r>
          </w:p>
          <w:p>
            <w:pPr>
              <w:pStyle w:val="Normal"/>
              <w:rPr>
                <w:rFonts w:ascii="Calibri" w:hAnsi="Calibri" w:cs="Calibri"/>
                <w:sz w:val="22"/>
                <w:szCs w:val="22"/>
              </w:rPr>
            </w:pPr>
            <w:r>
              <w:rPr>
                <w:rFonts w:cs="Calibri" w:ascii="Calibri" w:hAnsi="Calibri"/>
                <w:sz w:val="22"/>
                <w:szCs w:val="22"/>
              </w:rPr>
            </w:r>
          </w:p>
          <w:p>
            <w:pPr>
              <w:pStyle w:val="Normal"/>
              <w:rPr>
                <w:rFonts w:ascii="Calibri" w:hAnsi="Calibri" w:cs="Calibri"/>
                <w:sz w:val="22"/>
                <w:szCs w:val="22"/>
              </w:rPr>
            </w:pPr>
            <w:r>
              <w:rPr>
                <w:rFonts w:cs="Calibri" w:ascii="Calibri" w:hAnsi="Calibri"/>
                <w:sz w:val="22"/>
                <w:szCs w:val="22"/>
              </w:rPr>
              <w:t>Cele projektu:</w:t>
            </w:r>
          </w:p>
          <w:p>
            <w:pPr>
              <w:pStyle w:val="ListParagraph"/>
              <w:numPr>
                <w:ilvl w:val="0"/>
                <w:numId w:val="28"/>
              </w:numPr>
              <w:rPr>
                <w:rFonts w:ascii="Calibri" w:hAnsi="Calibri" w:cs="Calibri"/>
                <w:sz w:val="22"/>
                <w:szCs w:val="22"/>
              </w:rPr>
            </w:pPr>
            <w:r>
              <w:rPr>
                <w:rFonts w:cs="Calibri" w:ascii="Calibri" w:hAnsi="Calibri"/>
                <w:sz w:val="22"/>
                <w:szCs w:val="22"/>
              </w:rPr>
              <w:t>należy określić w oparciu o zidentyfikowane problemy wymienione w pkt. 1.1;</w:t>
            </w:r>
          </w:p>
          <w:p>
            <w:pPr>
              <w:pStyle w:val="ListParagraph"/>
              <w:numPr>
                <w:ilvl w:val="0"/>
                <w:numId w:val="28"/>
              </w:numPr>
              <w:rPr>
                <w:rFonts w:ascii="Calibri" w:hAnsi="Calibri" w:cs="Calibri"/>
                <w:sz w:val="22"/>
                <w:szCs w:val="22"/>
              </w:rPr>
            </w:pPr>
            <w:r>
              <w:rPr>
                <w:rFonts w:cs="Calibri" w:ascii="Calibri" w:hAnsi="Calibri"/>
                <w:sz w:val="22"/>
                <w:szCs w:val="22"/>
              </w:rPr>
              <w:t>powinny być tak określone, aby zminimalizować lub wykluczyć dublowanie wskaźników dla różnych celów (wskaźników celów/produktów);</w:t>
            </w:r>
          </w:p>
          <w:p>
            <w:pPr>
              <w:pStyle w:val="ListParagraph"/>
              <w:numPr>
                <w:ilvl w:val="0"/>
                <w:numId w:val="28"/>
              </w:numPr>
              <w:rPr>
                <w:rFonts w:ascii="Calibri" w:hAnsi="Calibri" w:cs="Calibri"/>
                <w:sz w:val="22"/>
                <w:szCs w:val="22"/>
              </w:rPr>
            </w:pPr>
            <w:r>
              <w:rPr>
                <w:rFonts w:cs="Calibri" w:ascii="Calibri" w:hAnsi="Calibri"/>
                <w:sz w:val="22"/>
                <w:szCs w:val="22"/>
              </w:rPr>
              <w:t xml:space="preserve">zgodnie z definicją powinny odnosić się do produktów projektu. </w:t>
            </w:r>
          </w:p>
          <w:p>
            <w:pPr>
              <w:pStyle w:val="Normal"/>
              <w:rPr>
                <w:rFonts w:ascii="Calibri" w:hAnsi="Calibri" w:cs="Calibri"/>
                <w:sz w:val="22"/>
                <w:szCs w:val="22"/>
              </w:rPr>
            </w:pPr>
            <w:r>
              <w:rPr>
                <w:rFonts w:cs="Calibri" w:ascii="Calibri" w:hAnsi="Calibri"/>
                <w:sz w:val="22"/>
                <w:szCs w:val="22"/>
              </w:rPr>
            </w:r>
          </w:p>
          <w:p>
            <w:pPr>
              <w:pStyle w:val="Normal"/>
              <w:rPr>
                <w:rFonts w:ascii="Calibri" w:hAnsi="Calibri" w:cs="Calibri"/>
                <w:sz w:val="22"/>
                <w:szCs w:val="22"/>
              </w:rPr>
            </w:pPr>
            <w:r>
              <w:rPr>
                <w:rFonts w:cs="Calibri" w:ascii="Calibri" w:hAnsi="Calibri"/>
                <w:sz w:val="22"/>
                <w:szCs w:val="22"/>
              </w:rPr>
              <w:t>Pozostałe informacje w tym polu są nadmiarowe. Korzyści oraz wskaźniki projektu należy umieścić w dedykowanych do tego polach.</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Skrócono nazwę celu zgodnie z rekomendacją. Cele powiązano z problemami z pkt 1.1 i produktami, eliminując dublowanie wskaźników. Korzyści przeniesiono do dedykowanych pó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2.1. Cele i korzyści wynikające z projektu</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 xml:space="preserve">W Celach strategicznych wymieniono nieobowiązujący dokument: Program Zintegrowanej Informatyzacji Państwa. </w:t>
            </w:r>
          </w:p>
          <w:p>
            <w:pPr>
              <w:pStyle w:val="Normal"/>
              <w:rPr>
                <w:rFonts w:ascii="Calibri" w:hAnsi="Calibri" w:cs="Calibri"/>
                <w:sz w:val="22"/>
                <w:szCs w:val="22"/>
              </w:rPr>
            </w:pPr>
            <w:r>
              <w:rPr>
                <w:rFonts w:cs="Calibri" w:ascii="Calibri" w:hAnsi="Calibri"/>
                <w:sz w:val="22"/>
                <w:szCs w:val="22"/>
              </w:rPr>
              <w:t>Należy wymienić obowiązujące na dzień opracowywania dokumentu strategie, programy strategiczne lub inne, dotyczące organizacji dokumenty strategiczne np. statut, w które wpisuje się dany cel projektu.</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Usunięto PZIP. Wskazano obowiązujące dokumenty strategiczne: Politykę Naukową Państwa, Strategię Rozwoju Kapitału Społecznego 2030 oraz Statut Teatru Lalki Tęcza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2.1. Cele i korzyści wynikające z projektu</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 xml:space="preserve">W sekcji „Korzyść”: </w:t>
            </w:r>
          </w:p>
          <w:p>
            <w:pPr>
              <w:pStyle w:val="ListParagraph"/>
              <w:numPr>
                <w:ilvl w:val="0"/>
                <w:numId w:val="17"/>
              </w:numPr>
              <w:rPr>
                <w:rFonts w:ascii="Calibri" w:hAnsi="Calibri" w:cs="Calibri"/>
                <w:sz w:val="22"/>
                <w:szCs w:val="22"/>
              </w:rPr>
            </w:pPr>
            <w:r>
              <w:rPr>
                <w:rFonts w:cs="Calibri" w:ascii="Calibri" w:hAnsi="Calibri"/>
                <w:sz w:val="22"/>
                <w:szCs w:val="22"/>
              </w:rPr>
              <w:t>należy wskazać nazwę korzyści projektu powiązaną z danym celem projektu;</w:t>
            </w:r>
          </w:p>
          <w:p>
            <w:pPr>
              <w:pStyle w:val="ListParagraph"/>
              <w:numPr>
                <w:ilvl w:val="0"/>
                <w:numId w:val="17"/>
              </w:numPr>
              <w:rPr>
                <w:rFonts w:ascii="Calibri" w:hAnsi="Calibri" w:cs="Calibri"/>
                <w:sz w:val="22"/>
                <w:szCs w:val="22"/>
              </w:rPr>
            </w:pPr>
            <w:r>
              <w:rPr>
                <w:rFonts w:cs="Calibri" w:ascii="Calibri" w:hAnsi="Calibri"/>
                <w:sz w:val="22"/>
                <w:szCs w:val="22"/>
              </w:rPr>
              <w:t>nazwa korzyści nie powinna opisywać produktów lub jego elementów (np. funkcjonalności lub modułu systemu);</w:t>
            </w:r>
          </w:p>
          <w:p>
            <w:pPr>
              <w:pStyle w:val="ListParagraph"/>
              <w:numPr>
                <w:ilvl w:val="0"/>
                <w:numId w:val="17"/>
              </w:numPr>
              <w:rPr>
                <w:rFonts w:ascii="Calibri" w:hAnsi="Calibri" w:cs="Calibri"/>
                <w:sz w:val="22"/>
                <w:szCs w:val="22"/>
              </w:rPr>
            </w:pPr>
            <w:r>
              <w:rPr>
                <w:rFonts w:cs="Calibri" w:ascii="Calibri" w:hAnsi="Calibri"/>
                <w:sz w:val="22"/>
                <w:szCs w:val="22"/>
              </w:rPr>
              <w:t>nazwę co do zasady należy sformułować wykorzystując sformułowania: „poprawa…”, „usprawnienie…”, „podniesienie efektywności…”, „zwiększenie…”.</w:t>
            </w:r>
          </w:p>
          <w:p>
            <w:pPr>
              <w:pStyle w:val="Normal"/>
              <w:rPr>
                <w:rFonts w:ascii="Calibri" w:hAnsi="Calibri" w:cs="Calibri"/>
                <w:sz w:val="22"/>
                <w:szCs w:val="22"/>
              </w:rPr>
            </w:pPr>
            <w:r>
              <w:rPr>
                <w:rFonts w:cs="Calibri" w:ascii="Calibri" w:hAnsi="Calibri"/>
                <w:sz w:val="22"/>
                <w:szCs w:val="22"/>
              </w:rPr>
            </w:r>
          </w:p>
          <w:p>
            <w:pPr>
              <w:pStyle w:val="Normal"/>
              <w:rPr>
                <w:rFonts w:ascii="Calibri" w:hAnsi="Calibri" w:cs="Calibri"/>
                <w:sz w:val="22"/>
                <w:szCs w:val="22"/>
              </w:rPr>
            </w:pPr>
            <w:r>
              <w:rPr>
                <w:rFonts w:cs="Calibri" w:ascii="Calibri" w:hAnsi="Calibri"/>
                <w:sz w:val="22"/>
                <w:szCs w:val="22"/>
              </w:rPr>
              <w:t>Przydatne definicje:</w:t>
            </w:r>
          </w:p>
          <w:p>
            <w:pPr>
              <w:pStyle w:val="Normal"/>
              <w:spacing w:before="240" w:after="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Cel</w:t>
            </w:r>
            <w:r>
              <w:rPr>
                <w:rFonts w:cs="Calibri" w:ascii="Calibri" w:hAnsi="Calibri" w:asciiTheme="minorHAnsi" w:cstheme="minorHAnsi" w:hAnsiTheme="minorHAnsi"/>
                <w:sz w:val="22"/>
                <w:szCs w:val="22"/>
              </w:rPr>
              <w:t xml:space="preserve"> - zmiana stanu (nie procesu), który ma zostać osiągnięty w wyniku realizacji projektu </w:t>
              <w:br/>
              <w:t>tj. wytworzenia i, w miarę możliwości, wdrożenia w określonym czasie i budżecie unikalnego produktu, który spełnia określone wymogi jakościowe i ilościowe.</w:t>
            </w:r>
          </w:p>
          <w:p>
            <w:pPr>
              <w:pStyle w:val="Normal"/>
              <w:spacing w:before="240" w:after="0"/>
              <w:jc w:val="both"/>
              <w:rPr>
                <w:rStyle w:val="cf21"/>
                <w:rFonts w:ascii="Calibri" w:hAnsi="Calibri" w:cs="Calibri" w:asciiTheme="minorHAnsi" w:cstheme="minorHAnsi" w:hAnsiTheme="minorHAnsi"/>
                <w:iCs/>
                <w:sz w:val="22"/>
                <w:szCs w:val="22"/>
              </w:rPr>
            </w:pPr>
            <w:r>
              <w:rPr>
                <w:rFonts w:cs="Calibri" w:ascii="Calibri" w:hAnsi="Calibri" w:asciiTheme="minorHAnsi" w:cstheme="minorHAnsi" w:hAnsiTheme="minorHAnsi"/>
                <w:b/>
                <w:bCs/>
                <w:sz w:val="22"/>
                <w:szCs w:val="22"/>
              </w:rPr>
              <w:t>Rezultat</w:t>
            </w:r>
            <w:r>
              <w:rPr>
                <w:rFonts w:cs="Calibri" w:ascii="Calibri" w:hAnsi="Calibri" w:asciiTheme="minorHAnsi" w:cstheme="minorHAnsi" w:hAnsiTheme="minorHAnsi"/>
                <w:sz w:val="22"/>
                <w:szCs w:val="22"/>
              </w:rPr>
              <w:t xml:space="preserve"> - korzystne lub niekorzystne efekty zmiany spowodowanej wykorzystaniem wdrożonych produktów (materialnych i niematerialnych) projektu, który nastąpił bezpośrednio lub w bardzo krótkim okresie czasu (zazwyczaj do roku) po zakończeniu rzeczowej realizacji i w wyniku realizowania projektu oraz które wpływają bezpośrednio na użytkownika produktu, organizację lub jej otoczenie.</w:t>
            </w:r>
            <w:r>
              <w:rPr>
                <w:rStyle w:val="cf21"/>
                <w:rFonts w:cs="Calibri" w:ascii="Calibri" w:hAnsi="Calibri" w:asciiTheme="minorHAnsi" w:cstheme="minorHAnsi" w:hAnsiTheme="minorHAnsi"/>
                <w:iCs/>
                <w:sz w:val="22"/>
                <w:szCs w:val="22"/>
              </w:rPr>
              <w:t xml:space="preserve"> </w:t>
            </w:r>
          </w:p>
          <w:p>
            <w:pPr>
              <w:pStyle w:val="Normal"/>
              <w:jc w:val="both"/>
              <w:rPr>
                <w:rStyle w:val="cf21"/>
                <w:rFonts w:ascii="Calibri" w:hAnsi="Calibri" w:cs="Calibri" w:asciiTheme="minorHAnsi" w:cstheme="minorHAnsi" w:hAnsiTheme="minorHAnsi"/>
                <w:iCs/>
                <w:sz w:val="22"/>
                <w:szCs w:val="22"/>
              </w:rPr>
            </w:pPr>
            <w:r>
              <w:rPr>
                <w:rStyle w:val="cf21"/>
                <w:rFonts w:cs="Calibri" w:ascii="Calibri" w:hAnsi="Calibri" w:asciiTheme="minorHAnsi" w:cstheme="minorHAnsi" w:hAnsiTheme="minorHAnsi"/>
                <w:iCs/>
                <w:sz w:val="22"/>
                <w:szCs w:val="22"/>
              </w:rPr>
              <w:t xml:space="preserve">Rezultat jest odpowiedzią na pytanie: </w:t>
            </w:r>
            <w:r>
              <w:rPr>
                <w:rStyle w:val="cf21"/>
                <w:rFonts w:cs="Calibri" w:ascii="Calibri" w:hAnsi="Calibri" w:asciiTheme="minorHAnsi" w:cstheme="minorHAnsi" w:hAnsiTheme="minorHAnsi"/>
                <w:i/>
                <w:sz w:val="22"/>
                <w:szCs w:val="22"/>
              </w:rPr>
              <w:t>Co się zmieni w organizacji lub jej otoczeniu w wyniku użytkowania produktu projektu bezpośrednio lub w bardzo krótkim okresie czasu (zazwyczaj do roku) po zakończeniu rzeczowej realizacji projektu?</w:t>
            </w:r>
          </w:p>
          <w:p>
            <w:pPr>
              <w:pStyle w:val="Normal"/>
              <w:spacing w:before="240" w:after="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Korzyść</w:t>
            </w:r>
            <w:r>
              <w:rPr>
                <w:rFonts w:cs="Calibri" w:ascii="Calibri" w:hAnsi="Calibri" w:asciiTheme="minorHAnsi" w:cstheme="minorHAnsi" w:hAnsiTheme="minorHAnsi"/>
                <w:sz w:val="22"/>
                <w:szCs w:val="22"/>
              </w:rPr>
              <w:t xml:space="preserve"> - mierzalne, </w:t>
            </w:r>
            <w:r>
              <w:rPr>
                <w:rFonts w:cs="Calibri" w:ascii="Calibri" w:hAnsi="Calibri" w:asciiTheme="minorHAnsi" w:cstheme="minorHAnsi" w:hAnsiTheme="minorHAnsi"/>
                <w:bCs/>
                <w:sz w:val="22"/>
                <w:szCs w:val="22"/>
              </w:rPr>
              <w:t>długofalowe i trwałe zmiany przyczyniające się do osiągnięcia jednego lub więcej celów organizacji (nie projektu)</w:t>
            </w:r>
            <w:r>
              <w:rPr>
                <w:rFonts w:cs="Calibri" w:ascii="Calibri" w:hAnsi="Calibri" w:asciiTheme="minorHAnsi" w:cstheme="minorHAnsi" w:hAnsiTheme="minorHAnsi"/>
                <w:sz w:val="22"/>
                <w:szCs w:val="22"/>
              </w:rPr>
              <w:t xml:space="preserve"> lub jej otoczenia, wynikające z rezultatów osiągniętych z wytworzenia/wdrożenia poszczególnych produktów projektu, uznawane przez jednego lub więcej interesariuszy za zaletę, tj. określonej wartości dodanej, poprawy sytuacji, przyspieszenia, zwiększenia jakości itd.</w:t>
            </w:r>
          </w:p>
          <w:p>
            <w:pPr>
              <w:pStyle w:val="pf0"/>
              <w:spacing w:beforeAutospacing="0" w:before="0" w:afterAutospacing="0" w:after="0"/>
              <w:jc w:val="both"/>
              <w:rPr>
                <w:rStyle w:val="cf21"/>
                <w:rFonts w:ascii="Calibri" w:hAnsi="Calibri" w:cs="Calibri" w:asciiTheme="minorHAnsi" w:cstheme="minorHAnsi" w:hAnsiTheme="minorHAnsi"/>
                <w:i/>
                <w:i/>
                <w:iCs/>
                <w:sz w:val="22"/>
                <w:szCs w:val="22"/>
              </w:rPr>
            </w:pPr>
            <w:r>
              <w:rPr>
                <w:rStyle w:val="cf21"/>
                <w:rFonts w:cs="Calibri" w:ascii="Calibri" w:hAnsi="Calibri" w:asciiTheme="minorHAnsi" w:cstheme="minorHAnsi" w:hAnsiTheme="minorHAnsi"/>
                <w:sz w:val="22"/>
                <w:szCs w:val="22"/>
              </w:rPr>
              <w:t xml:space="preserve">Korzyść jest odpowiedzią na pytanie: </w:t>
            </w:r>
            <w:r>
              <w:rPr>
                <w:rStyle w:val="cf21"/>
                <w:rFonts w:cs="Calibri" w:ascii="Calibri" w:hAnsi="Calibri" w:asciiTheme="minorHAnsi" w:cstheme="minorHAnsi" w:hAnsiTheme="minorHAnsi"/>
                <w:i/>
                <w:iCs/>
                <w:sz w:val="22"/>
                <w:szCs w:val="22"/>
              </w:rPr>
              <w:t>Jaka jest długofalowa i trwała poprawa w organizacji lub jej otoczeniu wynikająca z użytkowania produktu projektu?</w:t>
            </w:r>
          </w:p>
          <w:p>
            <w:pPr>
              <w:pStyle w:val="pf0"/>
              <w:spacing w:beforeAutospacing="0" w:before="240" w:afterAutospacing="0" w:after="0"/>
              <w:jc w:val="both"/>
              <w:rPr>
                <w:rFonts w:ascii="Calibri" w:hAnsi="Calibri" w:cs="Calibri" w:asciiTheme="minorHAnsi" w:cstheme="minorHAnsi" w:hAnsiTheme="minorHAnsi"/>
                <w:iCs/>
                <w:sz w:val="22"/>
                <w:szCs w:val="22"/>
              </w:rPr>
            </w:pPr>
            <w:r>
              <w:rPr>
                <w:rStyle w:val="cf21"/>
                <w:rFonts w:cs="Calibri" w:ascii="Calibri" w:hAnsi="Calibri" w:asciiTheme="minorHAnsi" w:cstheme="minorHAnsi" w:hAnsiTheme="minorHAnsi"/>
                <w:iCs/>
                <w:sz w:val="22"/>
                <w:szCs w:val="22"/>
              </w:rPr>
              <w:t>Powiązanie produktów/celów, z rezultatami i korzyściami można zobrazować następująco:</w:t>
            </w:r>
          </w:p>
          <w:p>
            <w:pPr>
              <w:pStyle w:val="pf0"/>
              <w:numPr>
                <w:ilvl w:val="0"/>
                <w:numId w:val="34"/>
              </w:numPr>
              <w:spacing w:beforeAutospacing="0" w:before="0" w:afterAutospacing="0" w:after="0"/>
              <w:jc w:val="both"/>
              <w:rPr>
                <w:rFonts w:ascii="Calibri" w:hAnsi="Calibri" w:cs="Calibri" w:asciiTheme="minorHAnsi" w:cstheme="minorHAnsi" w:hAnsiTheme="minorHAnsi"/>
                <w:iCs/>
                <w:sz w:val="22"/>
                <w:szCs w:val="22"/>
              </w:rPr>
            </w:pPr>
            <w:r>
              <w:rPr>
                <w:rStyle w:val="cf31"/>
                <w:rFonts w:cs="Calibri" w:ascii="Calibri" w:hAnsi="Calibri" w:asciiTheme="minorHAnsi" w:cstheme="minorHAnsi" w:hAnsiTheme="minorHAnsi"/>
                <w:b/>
                <w:bCs/>
                <w:sz w:val="22"/>
                <w:szCs w:val="22"/>
              </w:rPr>
              <w:t>Wyniki (produkty)</w:t>
            </w:r>
            <w:r>
              <w:rPr>
                <w:rStyle w:val="cf31"/>
                <w:rFonts w:cs="Calibri" w:ascii="Calibri" w:hAnsi="Calibri" w:asciiTheme="minorHAnsi" w:cstheme="minorHAnsi" w:hAnsiTheme="minorHAnsi"/>
                <w:sz w:val="22"/>
                <w:szCs w:val="22"/>
              </w:rPr>
              <w:t xml:space="preserve"> – dowolne specjalistyczne produkty projektu stanowiące cel projektu.</w:t>
            </w:r>
          </w:p>
          <w:p>
            <w:pPr>
              <w:pStyle w:val="pf0"/>
              <w:numPr>
                <w:ilvl w:val="0"/>
                <w:numId w:val="34"/>
              </w:numPr>
              <w:spacing w:beforeAutospacing="0" w:before="0" w:afterAutospacing="0" w:after="0"/>
              <w:jc w:val="both"/>
              <w:rPr>
                <w:rFonts w:ascii="Calibri" w:hAnsi="Calibri" w:cs="Calibri" w:asciiTheme="minorHAnsi" w:cstheme="minorHAnsi" w:hAnsiTheme="minorHAnsi"/>
                <w:iCs/>
                <w:sz w:val="22"/>
                <w:szCs w:val="22"/>
              </w:rPr>
            </w:pPr>
            <w:r>
              <w:rPr>
                <w:rStyle w:val="cf31"/>
                <w:rFonts w:cs="Calibri" w:ascii="Calibri" w:hAnsi="Calibri" w:asciiTheme="minorHAnsi" w:cstheme="minorHAnsi" w:hAnsiTheme="minorHAnsi"/>
                <w:b/>
                <w:bCs/>
                <w:sz w:val="22"/>
                <w:szCs w:val="22"/>
              </w:rPr>
              <w:t>Rezultaty</w:t>
            </w:r>
            <w:r>
              <w:rPr>
                <w:rStyle w:val="cf31"/>
                <w:rFonts w:cs="Calibri" w:ascii="Calibri" w:hAnsi="Calibri" w:asciiTheme="minorHAnsi" w:cstheme="minorHAnsi" w:hAnsiTheme="minorHAnsi"/>
                <w:sz w:val="22"/>
                <w:szCs w:val="22"/>
              </w:rPr>
              <w:t xml:space="preserve"> – efekty zmian spowodowanych wykorzystaniem wyników projektu.</w:t>
            </w:r>
          </w:p>
          <w:p>
            <w:pPr>
              <w:pStyle w:val="pf0"/>
              <w:numPr>
                <w:ilvl w:val="0"/>
                <w:numId w:val="34"/>
              </w:numPr>
              <w:spacing w:beforeAutospacing="0" w:before="0" w:afterAutospacing="0" w:after="0"/>
              <w:jc w:val="both"/>
              <w:rPr>
                <w:rFonts w:ascii="Calibri" w:hAnsi="Calibri" w:cs="Calibri" w:asciiTheme="minorHAnsi" w:cstheme="minorHAnsi" w:hAnsiTheme="minorHAnsi"/>
                <w:iCs/>
                <w:sz w:val="22"/>
                <w:szCs w:val="22"/>
              </w:rPr>
            </w:pPr>
            <w:r>
              <w:rPr>
                <w:rStyle w:val="cf31"/>
                <w:rFonts w:cs="Calibri" w:ascii="Calibri" w:hAnsi="Calibri" w:asciiTheme="minorHAnsi" w:cstheme="minorHAnsi" w:hAnsiTheme="minorHAnsi"/>
                <w:b/>
                <w:bCs/>
                <w:sz w:val="22"/>
                <w:szCs w:val="22"/>
              </w:rPr>
              <w:t>Korzyści</w:t>
            </w:r>
            <w:r>
              <w:rPr>
                <w:rStyle w:val="cf31"/>
                <w:rFonts w:cs="Calibri" w:ascii="Calibri" w:hAnsi="Calibri" w:asciiTheme="minorHAnsi" w:cstheme="minorHAnsi" w:hAnsiTheme="minorHAnsi"/>
                <w:sz w:val="22"/>
                <w:szCs w:val="22"/>
              </w:rPr>
              <w:t xml:space="preserve"> – poprawy, które można zmierzyć, osiągnięte dzięki rezultatom.</w:t>
            </w:r>
          </w:p>
          <w:p>
            <w:pPr>
              <w:pStyle w:val="Normal"/>
              <w:jc w:val="both"/>
              <w:rPr>
                <w:rFonts w:ascii="Calibri" w:hAnsi="Calibri" w:cs="Calibri" w:asciiTheme="minorHAnsi" w:cstheme="minorHAnsi" w:hAnsiTheme="minorHAnsi"/>
                <w:sz w:val="22"/>
                <w:szCs w:val="22"/>
                <w:u w:val="single"/>
              </w:rPr>
            </w:pPr>
            <w:r>
              <w:rPr>
                <w:rStyle w:val="cf31"/>
                <w:rFonts w:cs="Calibri" w:ascii="Calibri" w:hAnsi="Calibri" w:asciiTheme="minorHAnsi" w:cstheme="minorHAnsi" w:hAnsiTheme="minorHAnsi"/>
                <w:sz w:val="22"/>
                <w:szCs w:val="22"/>
              </w:rPr>
              <w:t>Np. Przez szkolenie (produkt/wynik) osiągamy nowe kompetencje ich uczestników (rezultat), przekładające się na łatwiejsze odnalezienie się ich na rynku pracy (korzyści)</w:t>
            </w:r>
          </w:p>
          <w:p>
            <w:pPr>
              <w:pStyle w:val="Normal"/>
              <w:spacing w:before="240" w:after="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Wskaźniki celu/produktu</w:t>
            </w:r>
            <w:r>
              <w:rPr>
                <w:rFonts w:cs="Calibri" w:ascii="Calibri" w:hAnsi="Calibri" w:asciiTheme="minorHAnsi" w:cstheme="minorHAnsi" w:hAnsiTheme="minorHAnsi"/>
                <w:sz w:val="22"/>
                <w:szCs w:val="22"/>
              </w:rPr>
              <w:t xml:space="preserve"> – parametr, za pomocą którego mierzone będzie osiągnięcie celu; wskaźniki celu/produktu są osiągane do zakończenia rzeczowej realizacji projektu. </w:t>
            </w:r>
          </w:p>
          <w:p>
            <w:pPr>
              <w:pStyle w:val="Normal"/>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Wskaźniki rezultatu</w:t>
            </w:r>
            <w:r>
              <w:rPr>
                <w:rFonts w:cs="Calibri" w:ascii="Calibri" w:hAnsi="Calibri" w:asciiTheme="minorHAnsi" w:cstheme="minorHAnsi" w:hAnsiTheme="minorHAnsi"/>
                <w:sz w:val="22"/>
                <w:szCs w:val="22"/>
              </w:rPr>
              <w:t xml:space="preserve"> – parametr, za pomocą którego mierzone będzie osiągnięcie rezultatu; wskaźniki rezultatu są osiągane do roku po zakończeniu rzeczowej realizacji projektu, tj. w  okresie od początku realizacji rzeczowej realizacji projektu do roku po jego zakończeniu. </w:t>
            </w:r>
          </w:p>
          <w:p>
            <w:pPr>
              <w:pStyle w:val="Normal"/>
              <w:jc w:val="both"/>
              <w:rPr>
                <w:rFonts w:ascii="Calibri" w:hAnsi="Calibri" w:cs="Calibri"/>
                <w:sz w:val="22"/>
                <w:szCs w:val="22"/>
              </w:rPr>
            </w:pPr>
            <w:r>
              <w:rPr>
                <w:rFonts w:cs="Calibri" w:ascii="Calibri" w:hAnsi="Calibri" w:asciiTheme="minorHAnsi" w:cstheme="minorHAnsi" w:hAnsiTheme="minorHAnsi"/>
                <w:b/>
                <w:bCs/>
                <w:sz w:val="22"/>
                <w:szCs w:val="22"/>
              </w:rPr>
              <w:t xml:space="preserve">Wskaźniki korzyści </w:t>
            </w:r>
            <w:r>
              <w:rPr>
                <w:rFonts w:cs="Calibri" w:ascii="Calibri" w:hAnsi="Calibri" w:asciiTheme="minorHAnsi" w:cstheme="minorHAnsi" w:hAnsiTheme="minorHAnsi"/>
                <w:sz w:val="22"/>
                <w:szCs w:val="22"/>
              </w:rPr>
              <w:t xml:space="preserve">– parametr, za pomocą którego mierzone będzie osiągnięcie korzyści; wskaźniki korzyści są osiągane do pięciu lat po zakończeniu rzeczowej realizacji projektu. </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Skorygowano sekcję „Korzyść” – powiązano ją z celami, usunięto opisy modułów technicznych i sformułowano językiem korzyści („poprawa…”, „usprawnienie…”, „zwiększenie…”)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2.1. Cele i korzyści wynikające z projektu</w:t>
            </w:r>
          </w:p>
        </w:tc>
        <w:tc>
          <w:tcPr>
            <w:tcW w:w="5645" w:type="dxa"/>
            <w:tcBorders>
              <w:top w:val="single" w:sz="4" w:space="0" w:color="000000"/>
              <w:left w:val="single" w:sz="4" w:space="0" w:color="000000"/>
              <w:bottom w:val="single" w:sz="4" w:space="0" w:color="000000"/>
              <w:right w:val="single" w:sz="4" w:space="0" w:color="000000"/>
            </w:tcBorders>
          </w:tcPr>
          <w:p>
            <w:pPr>
              <w:pStyle w:val="Normal"/>
              <w:numPr>
                <w:ilvl w:val="0"/>
                <w:numId w:val="43"/>
              </w:numPr>
              <w:ind w:hanging="284" w:left="313"/>
              <w:rPr>
                <w:rFonts w:ascii="Calibri" w:hAnsi="Calibri" w:cs="Calibri"/>
                <w:sz w:val="22"/>
                <w:szCs w:val="22"/>
              </w:rPr>
            </w:pPr>
            <w:r>
              <w:rPr>
                <w:rFonts w:cs="Calibri" w:ascii="Calibri" w:hAnsi="Calibri"/>
                <w:b/>
                <w:bCs/>
                <w:sz w:val="22"/>
                <w:szCs w:val="22"/>
              </w:rPr>
              <w:t>Należy dodać wskaźniki wymagane źródłem finansowania:</w:t>
            </w:r>
          </w:p>
          <w:p>
            <w:pPr>
              <w:pStyle w:val="ListParagraph"/>
              <w:numPr>
                <w:ilvl w:val="0"/>
                <w:numId w:val="40"/>
              </w:numPr>
              <w:ind w:hanging="360" w:left="673"/>
              <w:rPr>
                <w:rFonts w:ascii="Calibri" w:hAnsi="Calibri" w:cs="Calibri"/>
                <w:sz w:val="22"/>
                <w:szCs w:val="22"/>
              </w:rPr>
            </w:pPr>
            <w:r>
              <w:rPr>
                <w:rFonts w:cs="Calibri" w:ascii="Calibri" w:hAnsi="Calibri"/>
                <w:sz w:val="22"/>
                <w:szCs w:val="22"/>
              </w:rPr>
              <w:t>„</w:t>
            </w:r>
            <w:r>
              <w:rPr>
                <w:rFonts w:cs="Calibri" w:ascii="Calibri" w:hAnsi="Calibri"/>
                <w:sz w:val="22"/>
                <w:szCs w:val="22"/>
              </w:rPr>
              <w:t xml:space="preserve">Instytucje publiczne otrzymujące wsparcie na opracowywanie usług, produktów i procesów cyfrowych” </w:t>
            </w:r>
          </w:p>
          <w:p>
            <w:pPr>
              <w:pStyle w:val="ListParagraph"/>
              <w:numPr>
                <w:ilvl w:val="0"/>
                <w:numId w:val="40"/>
              </w:numPr>
              <w:ind w:hanging="360" w:left="673"/>
              <w:rPr>
                <w:rFonts w:ascii="Calibri" w:hAnsi="Calibri" w:cs="Calibri"/>
                <w:sz w:val="22"/>
                <w:szCs w:val="22"/>
              </w:rPr>
            </w:pPr>
            <w:r>
              <w:rPr>
                <w:rFonts w:cs="Calibri" w:ascii="Calibri" w:hAnsi="Calibri"/>
                <w:sz w:val="22"/>
                <w:szCs w:val="22"/>
              </w:rPr>
              <w:t>„</w:t>
            </w:r>
            <w:r>
              <w:rPr>
                <w:rFonts w:cs="Calibri" w:ascii="Calibri" w:hAnsi="Calibri"/>
                <w:sz w:val="22"/>
                <w:szCs w:val="22"/>
              </w:rPr>
              <w:t>Użytkownicy nowych i zmodernizowanych publicznych usług, produktów i procesów cyfrowych”;</w:t>
            </w:r>
          </w:p>
          <w:p>
            <w:pPr>
              <w:pStyle w:val="ListParagraph"/>
              <w:numPr>
                <w:ilvl w:val="0"/>
                <w:numId w:val="40"/>
              </w:numPr>
              <w:ind w:hanging="360" w:left="673"/>
              <w:rPr>
                <w:rFonts w:ascii="Calibri" w:hAnsi="Calibri" w:cs="Calibri"/>
                <w:sz w:val="22"/>
                <w:szCs w:val="22"/>
              </w:rPr>
            </w:pPr>
            <w:r>
              <w:rPr>
                <w:rFonts w:cs="Calibri" w:ascii="Calibri" w:hAnsi="Calibri"/>
                <w:b/>
                <w:bCs/>
                <w:sz w:val="22"/>
                <w:szCs w:val="22"/>
              </w:rPr>
              <w:t>„</w:t>
            </w:r>
            <w:r>
              <w:rPr>
                <w:rFonts w:cs="Calibri" w:ascii="Calibri" w:hAnsi="Calibri"/>
                <w:sz w:val="22"/>
                <w:szCs w:val="22"/>
              </w:rPr>
              <w:t>Liczba podmiotów, które udostępniły informacje sektora publicznego/dane prywatne on-line;</w:t>
            </w:r>
          </w:p>
          <w:p>
            <w:pPr>
              <w:pStyle w:val="ListParagraph"/>
              <w:numPr>
                <w:ilvl w:val="0"/>
                <w:numId w:val="40"/>
              </w:numPr>
              <w:ind w:hanging="360" w:left="673"/>
              <w:rPr>
                <w:rFonts w:ascii="Calibri" w:hAnsi="Calibri" w:cs="Calibri"/>
                <w:sz w:val="22"/>
                <w:szCs w:val="22"/>
              </w:rPr>
            </w:pPr>
            <w:r>
              <w:rPr>
                <w:rFonts w:cs="Calibri" w:ascii="Calibri" w:hAnsi="Calibri"/>
                <w:sz w:val="22"/>
                <w:szCs w:val="22"/>
              </w:rPr>
              <w:t>„</w:t>
            </w:r>
            <w:r>
              <w:rPr>
                <w:rFonts w:cs="Calibri" w:ascii="Calibri" w:hAnsi="Calibri"/>
                <w:sz w:val="22"/>
                <w:szCs w:val="22"/>
              </w:rPr>
              <w:t>Liczba zdigitalizowanych dokumentów zawierających informacje sektora publicznego/dane prywatne”;</w:t>
            </w:r>
          </w:p>
          <w:p>
            <w:pPr>
              <w:pStyle w:val="ListParagraph"/>
              <w:numPr>
                <w:ilvl w:val="0"/>
                <w:numId w:val="40"/>
              </w:numPr>
              <w:ind w:hanging="360" w:left="673"/>
              <w:rPr>
                <w:rFonts w:ascii="Calibri" w:hAnsi="Calibri" w:cs="Calibri"/>
                <w:sz w:val="22"/>
                <w:szCs w:val="22"/>
              </w:rPr>
            </w:pPr>
            <w:r>
              <w:rPr>
                <w:rFonts w:cs="Calibri" w:ascii="Calibri" w:hAnsi="Calibri"/>
                <w:sz w:val="22"/>
                <w:szCs w:val="22"/>
              </w:rPr>
              <w:t>„</w:t>
            </w:r>
            <w:r>
              <w:rPr>
                <w:rFonts w:cs="Calibri" w:ascii="Calibri" w:hAnsi="Calibri"/>
                <w:sz w:val="22"/>
                <w:szCs w:val="22"/>
              </w:rPr>
              <w:t>Liczba udostępnionych on-line dokumentów zawierających informacje sektora publicznego/dane prywatne”;</w:t>
            </w:r>
          </w:p>
          <w:p>
            <w:pPr>
              <w:pStyle w:val="ListParagraph"/>
              <w:numPr>
                <w:ilvl w:val="0"/>
                <w:numId w:val="40"/>
              </w:numPr>
              <w:ind w:hanging="360" w:left="673"/>
              <w:rPr>
                <w:rFonts w:ascii="Calibri" w:hAnsi="Calibri" w:cs="Calibri"/>
                <w:sz w:val="22"/>
                <w:szCs w:val="22"/>
              </w:rPr>
            </w:pPr>
            <w:r>
              <w:rPr>
                <w:rFonts w:cs="Calibri" w:ascii="Calibri" w:hAnsi="Calibri"/>
                <w:sz w:val="22"/>
                <w:szCs w:val="22"/>
              </w:rPr>
              <w:t>„</w:t>
            </w:r>
            <w:r>
              <w:rPr>
                <w:rFonts w:cs="Calibri" w:ascii="Calibri" w:hAnsi="Calibri"/>
                <w:sz w:val="22"/>
                <w:szCs w:val="22"/>
              </w:rPr>
              <w:t>Rozmiar zdigitalizowanych informacji sektora publicznego/danych prywatnych” – jeśli digitalizujecie Państwo jakieś zasoby, to należy dodać ten wskaźnik;</w:t>
            </w:r>
          </w:p>
          <w:p>
            <w:pPr>
              <w:pStyle w:val="ListParagraph"/>
              <w:numPr>
                <w:ilvl w:val="0"/>
                <w:numId w:val="40"/>
              </w:numPr>
              <w:ind w:hanging="360" w:left="673"/>
              <w:rPr>
                <w:rFonts w:ascii="Calibri" w:hAnsi="Calibri" w:cs="Calibri"/>
                <w:sz w:val="22"/>
                <w:szCs w:val="22"/>
              </w:rPr>
            </w:pPr>
            <w:r>
              <w:rPr>
                <w:rFonts w:cs="Calibri" w:ascii="Calibri" w:hAnsi="Calibri"/>
                <w:sz w:val="22"/>
                <w:szCs w:val="22"/>
              </w:rPr>
              <w:t>„</w:t>
            </w:r>
            <w:r>
              <w:rPr>
                <w:rFonts w:cs="Calibri" w:ascii="Calibri" w:hAnsi="Calibri"/>
                <w:sz w:val="22"/>
                <w:szCs w:val="22"/>
              </w:rPr>
              <w:t>Rozmiar udostępnionych on-line informacji sektora publicznego/danych prywatnych” – jeśli udostępniacie Państwo zasoby, to mają one jakiś rozmiar.</w:t>
            </w:r>
          </w:p>
          <w:p>
            <w:pPr>
              <w:pStyle w:val="Normal"/>
              <w:ind w:left="313"/>
              <w:rPr>
                <w:rFonts w:ascii="Calibri" w:hAnsi="Calibri" w:cs="Calibri"/>
                <w:sz w:val="22"/>
                <w:szCs w:val="22"/>
              </w:rPr>
            </w:pPr>
            <w:r>
              <w:rPr>
                <w:rFonts w:cs="Calibri" w:ascii="Calibri" w:hAnsi="Calibri"/>
                <w:sz w:val="22"/>
                <w:szCs w:val="22"/>
              </w:rPr>
            </w:r>
          </w:p>
          <w:p>
            <w:pPr>
              <w:pStyle w:val="Normal"/>
              <w:numPr>
                <w:ilvl w:val="0"/>
                <w:numId w:val="13"/>
              </w:numPr>
              <w:ind w:hanging="284" w:left="313"/>
              <w:rPr>
                <w:rFonts w:ascii="Calibri" w:hAnsi="Calibri" w:cs="Calibri"/>
                <w:sz w:val="22"/>
                <w:szCs w:val="22"/>
              </w:rPr>
            </w:pPr>
            <w:r>
              <w:rPr>
                <w:rFonts w:cs="Calibri" w:ascii="Calibri" w:hAnsi="Calibri"/>
                <w:b/>
                <w:bCs/>
                <w:sz w:val="22"/>
                <w:szCs w:val="22"/>
              </w:rPr>
              <w:t>Należy rozważyć dodanie wskaźników:</w:t>
            </w:r>
          </w:p>
          <w:p>
            <w:pPr>
              <w:pStyle w:val="ListParagraph"/>
              <w:numPr>
                <w:ilvl w:val="0"/>
                <w:numId w:val="41"/>
              </w:numPr>
              <w:rPr>
                <w:rFonts w:ascii="Calibri" w:hAnsi="Calibri" w:cs="Calibri"/>
                <w:sz w:val="22"/>
                <w:szCs w:val="22"/>
              </w:rPr>
            </w:pPr>
            <w:r>
              <w:rPr>
                <w:rFonts w:cs="Calibri" w:ascii="Calibri" w:hAnsi="Calibri"/>
                <w:sz w:val="22"/>
                <w:szCs w:val="22"/>
              </w:rPr>
              <w:t>„</w:t>
            </w:r>
            <w:r>
              <w:rPr>
                <w:rFonts w:cs="Calibri" w:ascii="Calibri" w:hAnsi="Calibri"/>
                <w:sz w:val="22"/>
                <w:szCs w:val="22"/>
              </w:rPr>
              <w:t>Wartość usług, produktów i procesów cyfrowych opracowanych dla przedsiębiorstw”;</w:t>
            </w:r>
          </w:p>
          <w:p>
            <w:pPr>
              <w:pStyle w:val="ListParagraph"/>
              <w:numPr>
                <w:ilvl w:val="0"/>
                <w:numId w:val="41"/>
              </w:numPr>
              <w:rPr>
                <w:rFonts w:ascii="Calibri" w:hAnsi="Calibri" w:cs="Calibri"/>
                <w:sz w:val="22"/>
                <w:szCs w:val="22"/>
              </w:rPr>
            </w:pPr>
            <w:r>
              <w:rPr>
                <w:rFonts w:cs="Calibri" w:ascii="Calibri" w:hAnsi="Calibri"/>
                <w:sz w:val="22"/>
                <w:szCs w:val="22"/>
              </w:rPr>
              <w:t>„</w:t>
            </w:r>
            <w:r>
              <w:rPr>
                <w:rFonts w:cs="Calibri" w:ascii="Calibri" w:hAnsi="Calibri"/>
                <w:sz w:val="22"/>
                <w:szCs w:val="22"/>
              </w:rPr>
              <w:t>Liczba rozwiązań wykorzystujących informacje sektora publicznego/dane prywatne”;</w:t>
            </w:r>
          </w:p>
          <w:p>
            <w:pPr>
              <w:pStyle w:val="ListParagraph"/>
              <w:numPr>
                <w:ilvl w:val="0"/>
                <w:numId w:val="41"/>
              </w:numPr>
              <w:rPr>
                <w:rFonts w:ascii="Calibri" w:hAnsi="Calibri" w:cs="Calibri"/>
                <w:sz w:val="22"/>
                <w:szCs w:val="22"/>
              </w:rPr>
            </w:pPr>
            <w:r>
              <w:rPr>
                <w:rFonts w:cs="Calibri" w:ascii="Calibri" w:hAnsi="Calibri"/>
                <w:sz w:val="22"/>
                <w:szCs w:val="22"/>
              </w:rPr>
              <w:t>„</w:t>
            </w:r>
            <w:r>
              <w:rPr>
                <w:rFonts w:cs="Calibri" w:ascii="Calibri" w:hAnsi="Calibri"/>
                <w:sz w:val="22"/>
                <w:szCs w:val="22"/>
              </w:rPr>
              <w:t>Liczba pracowników IT objętych wsparciem szkoleniowym” (w podziale na płeć: K, M) – jeśli będą szkolenia;</w:t>
            </w:r>
          </w:p>
          <w:p>
            <w:pPr>
              <w:pStyle w:val="ListParagraph"/>
              <w:numPr>
                <w:ilvl w:val="0"/>
                <w:numId w:val="41"/>
              </w:numPr>
              <w:rPr>
                <w:rFonts w:ascii="Calibri" w:hAnsi="Calibri" w:cs="Calibri"/>
                <w:sz w:val="22"/>
                <w:szCs w:val="22"/>
              </w:rPr>
            </w:pPr>
            <w:r>
              <w:rPr>
                <w:rFonts w:cs="Calibri" w:ascii="Calibri" w:hAnsi="Calibri"/>
                <w:sz w:val="22"/>
                <w:szCs w:val="22"/>
              </w:rPr>
              <w:t>„</w:t>
            </w:r>
            <w:r>
              <w:rPr>
                <w:rFonts w:cs="Calibri" w:ascii="Calibri" w:hAnsi="Calibri"/>
                <w:sz w:val="22"/>
                <w:szCs w:val="22"/>
              </w:rPr>
              <w:t>Liczba pracowników nie będących pracownikami IT, objętych wsparciem szkoleniowym” (w podziale na płeć: K, M) – jeśli będą szkolenia;</w:t>
            </w:r>
          </w:p>
          <w:p>
            <w:pPr>
              <w:pStyle w:val="ListParagraph"/>
              <w:numPr>
                <w:ilvl w:val="0"/>
                <w:numId w:val="41"/>
              </w:numPr>
              <w:rPr>
                <w:rFonts w:ascii="Calibri" w:hAnsi="Calibri" w:cs="Calibri"/>
                <w:sz w:val="22"/>
                <w:szCs w:val="22"/>
              </w:rPr>
            </w:pPr>
            <w:r>
              <w:rPr>
                <w:rFonts w:cs="Calibri" w:ascii="Calibri" w:hAnsi="Calibri"/>
                <w:sz w:val="22"/>
                <w:szCs w:val="22"/>
              </w:rPr>
              <w:t>„</w:t>
            </w:r>
            <w:r>
              <w:rPr>
                <w:rFonts w:cs="Calibri" w:ascii="Calibri" w:hAnsi="Calibri"/>
                <w:sz w:val="22"/>
                <w:szCs w:val="22"/>
              </w:rPr>
              <w:t>Liczba baz danych udostępnionych on-line poprzez API”;</w:t>
            </w:r>
          </w:p>
          <w:p>
            <w:pPr>
              <w:pStyle w:val="ListParagraph"/>
              <w:numPr>
                <w:ilvl w:val="0"/>
                <w:numId w:val="41"/>
              </w:numPr>
              <w:rPr>
                <w:rFonts w:ascii="Calibri" w:hAnsi="Calibri" w:cs="Calibri"/>
                <w:sz w:val="22"/>
                <w:szCs w:val="22"/>
              </w:rPr>
            </w:pPr>
            <w:r>
              <w:rPr>
                <w:rFonts w:cs="Calibri" w:ascii="Calibri" w:hAnsi="Calibri"/>
                <w:sz w:val="22"/>
                <w:szCs w:val="22"/>
              </w:rPr>
              <w:t>„</w:t>
            </w:r>
            <w:r>
              <w:rPr>
                <w:rFonts w:cs="Calibri" w:ascii="Calibri" w:hAnsi="Calibri"/>
                <w:sz w:val="22"/>
                <w:szCs w:val="22"/>
              </w:rPr>
              <w:t>Liczba platform udostępniania dokumentów zawierających informacje sektora publicznego/dane prywatne”;</w:t>
            </w:r>
          </w:p>
          <w:p>
            <w:pPr>
              <w:pStyle w:val="ListParagraph"/>
              <w:numPr>
                <w:ilvl w:val="0"/>
                <w:numId w:val="41"/>
              </w:numPr>
              <w:rPr>
                <w:rFonts w:ascii="Calibri" w:hAnsi="Calibri" w:cs="Calibri"/>
                <w:sz w:val="22"/>
                <w:szCs w:val="22"/>
              </w:rPr>
            </w:pPr>
            <w:r>
              <w:rPr>
                <w:rFonts w:cs="Calibri" w:ascii="Calibri" w:hAnsi="Calibri"/>
                <w:sz w:val="22"/>
                <w:szCs w:val="22"/>
              </w:rPr>
              <w:t>„</w:t>
            </w:r>
            <w:r>
              <w:rPr>
                <w:rFonts w:cs="Calibri" w:ascii="Calibri" w:hAnsi="Calibri"/>
                <w:sz w:val="22"/>
                <w:szCs w:val="22"/>
              </w:rPr>
              <w:t>Liczba uruchomionych systemów teleinformatycznych”;</w:t>
            </w:r>
          </w:p>
          <w:p>
            <w:pPr>
              <w:pStyle w:val="ListParagraph"/>
              <w:numPr>
                <w:ilvl w:val="0"/>
                <w:numId w:val="41"/>
              </w:numPr>
              <w:rPr>
                <w:rFonts w:ascii="Calibri" w:hAnsi="Calibri" w:cs="Calibri"/>
                <w:sz w:val="22"/>
                <w:szCs w:val="22"/>
              </w:rPr>
            </w:pPr>
            <w:r>
              <w:rPr>
                <w:rFonts w:cs="Calibri" w:ascii="Calibri" w:hAnsi="Calibri"/>
                <w:sz w:val="22"/>
                <w:szCs w:val="22"/>
              </w:rPr>
              <w:t>„</w:t>
            </w:r>
            <w:r>
              <w:rPr>
                <w:rFonts w:cs="Calibri" w:ascii="Calibri" w:hAnsi="Calibri"/>
                <w:sz w:val="22"/>
                <w:szCs w:val="22"/>
              </w:rPr>
              <w:t>Liczba utworzonych API”;</w:t>
            </w:r>
          </w:p>
          <w:p>
            <w:pPr>
              <w:pStyle w:val="ListParagraph"/>
              <w:numPr>
                <w:ilvl w:val="0"/>
                <w:numId w:val="41"/>
              </w:numPr>
              <w:rPr>
                <w:rFonts w:ascii="Calibri" w:hAnsi="Calibri" w:cs="Calibri"/>
                <w:sz w:val="22"/>
                <w:szCs w:val="22"/>
              </w:rPr>
            </w:pPr>
            <w:r>
              <w:rPr>
                <w:rFonts w:cs="Calibri" w:ascii="Calibri" w:hAnsi="Calibri"/>
                <w:sz w:val="22"/>
                <w:szCs w:val="22"/>
              </w:rPr>
              <w:t>„</w:t>
            </w:r>
            <w:r>
              <w:rPr>
                <w:rFonts w:cs="Calibri" w:ascii="Calibri" w:hAnsi="Calibri"/>
                <w:sz w:val="22"/>
                <w:szCs w:val="22"/>
              </w:rPr>
              <w:t>Liczba wygenerowanych kluczy API”.</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Do wniosku dodano wszystkie 7 wymaganych wskaźników FERC (w tym instytucje otrzymujące wsparcie, użytkowników usług, liczbę podmiotów, wolumen i rozmiar danych w TB udostępnionych online)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2.1. Cele i korzyści wynikające z projektu</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przypadku umieszczenia w jednym celu kilku KPI, należy zapisać wskaźniki KPI wg poniższej instrukcji.</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wierszu „Wartość aktualna i docelowa KPI” należy podać dwie wartości – wartość aktualną i docelową.</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Mając na uwadze powyższe, dla wszystkich wymienionych w dokumencie KPI należy podać informacje pogrupowane wg formatu:</w:t>
            </w:r>
          </w:p>
          <w:p>
            <w:pPr>
              <w:pStyle w:val="ListParagraph"/>
              <w:numPr>
                <w:ilvl w:val="0"/>
                <w:numId w:val="10"/>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KPI 1:</w:t>
            </w:r>
          </w:p>
          <w:p>
            <w:pPr>
              <w:pStyle w:val="ListParagraph"/>
              <w:numPr>
                <w:ilvl w:val="0"/>
                <w:numId w:val="11"/>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wartość aktualna: ….</w:t>
            </w:r>
          </w:p>
          <w:p>
            <w:pPr>
              <w:pStyle w:val="ListParagraph"/>
              <w:numPr>
                <w:ilvl w:val="0"/>
                <w:numId w:val="11"/>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wartość docelowa: ….</w:t>
            </w:r>
          </w:p>
          <w:p>
            <w:pPr>
              <w:pStyle w:val="ListParagraph"/>
              <w:numPr>
                <w:ilvl w:val="0"/>
                <w:numId w:val="10"/>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KPI 2:</w:t>
            </w:r>
          </w:p>
          <w:p>
            <w:pPr>
              <w:pStyle w:val="ListParagraph"/>
              <w:numPr>
                <w:ilvl w:val="0"/>
                <w:numId w:val="11"/>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wartość aktualna: ….</w:t>
            </w:r>
          </w:p>
          <w:p>
            <w:pPr>
              <w:pStyle w:val="ListParagraph"/>
              <w:numPr>
                <w:ilvl w:val="0"/>
                <w:numId w:val="11"/>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wartość docelowa: ….</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tabs>
                <w:tab w:val="clear" w:pos="708"/>
                <w:tab w:val="left" w:pos="367" w:leader="none"/>
              </w:tabs>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Analogicznie należy prezentować informację dla poszczególnych KPI w wierszu „Metoda pomiaru KPI”, przy czym zgodnie z opisem na wzorze formularza dla każdego wskaźnika odrębnie należy określić:</w:t>
            </w:r>
          </w:p>
          <w:p>
            <w:pPr>
              <w:pStyle w:val="ListParagraph"/>
              <w:numPr>
                <w:ilvl w:val="0"/>
                <w:numId w:val="9"/>
              </w:numPr>
              <w:tabs>
                <w:tab w:val="clear" w:pos="708"/>
                <w:tab w:val="left" w:pos="367" w:leader="none"/>
              </w:tabs>
              <w:spacing w:before="0" w:after="0"/>
              <w:contextualSpacing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metodę oraz sposób pomiaru KPI – np. szacunek na podstawie danych zastanych, badanie ewaluacyjne ilościowe, badanie ewaluacyjne jakościowe;</w:t>
            </w:r>
          </w:p>
          <w:p>
            <w:pPr>
              <w:pStyle w:val="ListParagraph"/>
              <w:numPr>
                <w:ilvl w:val="0"/>
                <w:numId w:val="9"/>
              </w:numPr>
              <w:tabs>
                <w:tab w:val="clear" w:pos="708"/>
                <w:tab w:val="left" w:pos="367" w:leader="none"/>
              </w:tabs>
              <w:spacing w:before="0" w:after="0"/>
              <w:contextualSpacing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źródło danych – np. baza danych systemu, BDL GUS, odpowiedzi/opinie interesariuszy, dokumentacja projektowa, raport z realizacji, protokół odbioru systemu, albo inny dokument, który to potwierdzi wartość wskaźnika;</w:t>
            </w:r>
          </w:p>
          <w:p>
            <w:pPr>
              <w:pStyle w:val="ListParagraph"/>
              <w:numPr>
                <w:ilvl w:val="0"/>
                <w:numId w:val="9"/>
              </w:numPr>
              <w:tabs>
                <w:tab w:val="clear" w:pos="708"/>
                <w:tab w:val="left" w:pos="367" w:leader="none"/>
              </w:tabs>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częstotliwość pomiaru oraz </w:t>
            </w:r>
            <w:r>
              <w:rPr>
                <w:rFonts w:cs="Calibri" w:ascii="Calibri" w:hAnsi="Calibri" w:asciiTheme="minorHAnsi" w:cstheme="minorHAnsi" w:hAnsiTheme="minorHAnsi"/>
                <w:b/>
                <w:bCs/>
                <w:sz w:val="22"/>
                <w:szCs w:val="22"/>
              </w:rPr>
              <w:t>wskazanie terminu pomiaru wartości docelowej wskaźnika</w:t>
            </w:r>
            <w:r>
              <w:rPr>
                <w:rFonts w:cs="Calibri" w:ascii="Calibri" w:hAnsi="Calibri" w:asciiTheme="minorHAnsi" w:cstheme="minorHAnsi" w:hAnsiTheme="minorHAnsi"/>
                <w:sz w:val="22"/>
                <w:szCs w:val="22"/>
              </w:rPr>
              <w:t xml:space="preserve"> – np. jednorazowo w dniu zakończenia projektu </w:t>
            </w:r>
          </w:p>
          <w:p>
            <w:pPr>
              <w:pStyle w:val="Normal"/>
              <w:tabs>
                <w:tab w:val="clear" w:pos="708"/>
                <w:tab w:val="left" w:pos="367" w:leader="none"/>
              </w:tabs>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-mając na uwadze wykazaną planowaną docelową wartość wskaźnika KPI.</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Uporządkowano strukturę zapisu KPI. Wprowadzono sztywny podział na wartość aktualną (0) i docelową, a metodologię opisano odrębnie dla każdego KPI, wskazując źródło (Matomo/logi) i częstotliwość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2.1. Cele i korzyści wynikające z projektu</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asciiTheme="minorHAnsi" w:cstheme="minorHAnsi" w:hAnsiTheme="minorHAnsi"/>
                <w:iCs/>
                <w:sz w:val="22"/>
                <w:szCs w:val="22"/>
              </w:rPr>
            </w:pPr>
            <w:r>
              <w:rPr>
                <w:rFonts w:cs="Calibri" w:ascii="Calibri" w:hAnsi="Calibri" w:asciiTheme="minorHAnsi" w:cstheme="minorHAnsi" w:hAnsiTheme="minorHAnsi"/>
                <w:iCs/>
                <w:sz w:val="22"/>
                <w:szCs w:val="22"/>
              </w:rPr>
              <w:t xml:space="preserve">Nie wykazano wskaźników jakościowych, które pozwolą na właściwą ocenę efektów projektu, które m.in.: </w:t>
            </w:r>
          </w:p>
          <w:p>
            <w:pPr>
              <w:pStyle w:val="ListParagraph"/>
              <w:numPr>
                <w:ilvl w:val="0"/>
                <w:numId w:val="36"/>
              </w:numPr>
              <w:ind w:hanging="360" w:left="360"/>
              <w:rPr>
                <w:rFonts w:ascii="Calibri" w:hAnsi="Calibri" w:cs="Calibri" w:asciiTheme="minorHAnsi" w:cstheme="minorHAnsi" w:hAnsiTheme="minorHAnsi"/>
                <w:iCs/>
                <w:sz w:val="22"/>
                <w:szCs w:val="22"/>
              </w:rPr>
            </w:pPr>
            <w:r>
              <w:rPr>
                <w:rFonts w:cs="Calibri" w:ascii="Calibri" w:hAnsi="Calibri" w:asciiTheme="minorHAnsi" w:cstheme="minorHAnsi" w:hAnsiTheme="minorHAnsi"/>
                <w:iCs/>
                <w:sz w:val="22"/>
                <w:szCs w:val="22"/>
              </w:rPr>
              <w:t>potwierdzą wysoką jakość kopii cyfrowych realizowanych w ramach procesu digitalizacji (wskaźnik produktu/celu)</w:t>
            </w:r>
          </w:p>
          <w:p>
            <w:pPr>
              <w:pStyle w:val="ListParagraph"/>
              <w:numPr>
                <w:ilvl w:val="0"/>
                <w:numId w:val="36"/>
              </w:numPr>
              <w:ind w:hanging="360" w:left="36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pozwalającego na monitorowanie popularności platformy udostępniania poprzez coroczne sprawdzanie ilości odsłon/pobrań zdigitalizowanych i udostępnionych dokumentów </w:t>
            </w:r>
            <w:r>
              <w:rPr>
                <w:rFonts w:cs="Calibri" w:ascii="Calibri" w:hAnsi="Calibri" w:asciiTheme="minorHAnsi" w:cstheme="minorHAnsi" w:hAnsiTheme="minorHAnsi"/>
                <w:iCs/>
                <w:sz w:val="22"/>
                <w:szCs w:val="22"/>
              </w:rPr>
              <w:t>(wskaźnik rezultatu)</w:t>
            </w:r>
          </w:p>
          <w:p>
            <w:pPr>
              <w:pStyle w:val="ListParagraph"/>
              <w:numPr>
                <w:ilvl w:val="0"/>
                <w:numId w:val="36"/>
              </w:numPr>
              <w:ind w:hanging="360" w:left="360"/>
              <w:rPr>
                <w:rFonts w:ascii="Calibri" w:hAnsi="Calibri" w:cs="Calibri" w:asciiTheme="minorHAnsi" w:cstheme="minorHAnsi" w:hAnsiTheme="minorHAnsi"/>
                <w:b/>
                <w:bCs/>
                <w:sz w:val="22"/>
                <w:szCs w:val="22"/>
              </w:rPr>
            </w:pPr>
            <w:r>
              <w:rPr>
                <w:rFonts w:cs="Calibri" w:ascii="Calibri" w:hAnsi="Calibri" w:asciiTheme="minorHAnsi" w:cstheme="minorHAnsi" w:hAnsiTheme="minorHAnsi"/>
                <w:sz w:val="22"/>
                <w:szCs w:val="22"/>
              </w:rPr>
              <w:t xml:space="preserve">wysoką wydajność budowanego systemu oraz związanej z nim infrastruktury </w:t>
            </w:r>
            <w:r>
              <w:rPr>
                <w:rFonts w:cs="Calibri" w:ascii="Calibri" w:hAnsi="Calibri" w:asciiTheme="minorHAnsi" w:cstheme="minorHAnsi" w:hAnsiTheme="minorHAnsi"/>
                <w:iCs/>
                <w:sz w:val="22"/>
                <w:szCs w:val="22"/>
              </w:rPr>
              <w:t>(wskaźnik produktu/celu)</w:t>
            </w:r>
          </w:p>
          <w:p>
            <w:pPr>
              <w:pStyle w:val="ListParagraph"/>
              <w:numPr>
                <w:ilvl w:val="0"/>
                <w:numId w:val="36"/>
              </w:numPr>
              <w:ind w:hanging="360" w:left="360"/>
              <w:rPr>
                <w:rFonts w:cs="Calibri" w:cstheme="minorHAnsi"/>
                <w:b/>
                <w:bCs/>
                <w:sz w:val="22"/>
                <w:szCs w:val="22"/>
              </w:rPr>
            </w:pPr>
            <w:r>
              <w:rPr>
                <w:rFonts w:cs="Calibri" w:ascii="Calibri" w:hAnsi="Calibri" w:asciiTheme="minorHAnsi" w:cstheme="minorHAnsi" w:hAnsiTheme="minorHAnsi"/>
                <w:sz w:val="22"/>
                <w:szCs w:val="22"/>
              </w:rPr>
              <w:t xml:space="preserve">uzyskanie odpowiednich certyfikatów potwierdzających wysoką jakość zbiorów, systemów oraz procedur zbierania, przechowywania i przetwarzania danych </w:t>
            </w:r>
            <w:r>
              <w:rPr>
                <w:rFonts w:cs="Calibri" w:ascii="Calibri" w:hAnsi="Calibri" w:asciiTheme="minorHAnsi" w:cstheme="minorHAnsi" w:hAnsiTheme="minorHAnsi"/>
                <w:iCs/>
                <w:sz w:val="22"/>
                <w:szCs w:val="22"/>
              </w:rPr>
              <w:t>(wskaźnik rezultatu)</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cstheme="minorHAnsi" w:ascii="Calibri" w:hAnsi="Calibri"/>
                <w:sz w:val="22"/>
                <w:szCs w:val="22"/>
              </w:rPr>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Wprowadzono wskaźniki jakościowe: weryfikacja sum kontrolnych SHA-256 dla kopii cyfrowych, testy wydajności infrastruktury, monitoring odsłon oraz certyfikację audytu dostępności WCAG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2.2. Udostępnione e-usługi</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Należy poprawnie zidentyfikować e-usługi publiczne, które powinny wskazywać na czynność.</w:t>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Dodatkowo po nazwie e-usługi można zawrzeć jej krótki opis.</w:t>
              <w:b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Zgodnie z definicją:</w:t>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E-usługa publiczna (elektroniczna usługa publiczna) - działanie (nie system teleinformatyczny lub jego komponent) wykonywane przez podmiot realizujący zadania publiczne, pozwalające usługobiorcy na spełnienie obowiązku lub wykorzystanie uprawnienia określonego przepisem prawa (tj. usługi publicznej), za pomocą środków komunikacji elektronicznej.  </w:t>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E-usługa publiczna jest świadczona przez usługodawcę i realizowana przez usługobiorcę przy wykorzystaniu systemu/systemów teleinformatycznych.</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E-usługą publiczną nie jest usługa sieciowa.</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spacing w:lineRule="auto" w:line="247" w:before="0" w:after="27"/>
              <w:ind w:right="39"/>
              <w:rPr>
                <w:iCs/>
              </w:rPr>
            </w:pPr>
            <w:r>
              <w:rPr>
                <w:rFonts w:eastAsia="Calibri" w:cs="Calibri" w:ascii="Calibri" w:hAnsi="Calibri"/>
                <w:iCs/>
                <w:sz w:val="22"/>
              </w:rPr>
              <w:t xml:space="preserve">Nazwa e-usługi powinna być sformułowana w sposób jednoznacznie wskazujący na efekt realizowanego procesu i obustronność działań (np. w formie wnioskowania/logowania przez usługobiorcę i dostarczenie/otrzymanie na podstawie podanych parametrów przez usługodawcę oczekiwanego dokumentu/danych, np.: </w:t>
            </w:r>
          </w:p>
          <w:p>
            <w:pPr>
              <w:pStyle w:val="ListParagraph"/>
              <w:numPr>
                <w:ilvl w:val="0"/>
                <w:numId w:val="29"/>
              </w:numPr>
              <w:spacing w:lineRule="auto" w:line="247" w:before="0" w:after="27"/>
              <w:ind w:hanging="360" w:left="360" w:right="39"/>
              <w:contextualSpacing/>
              <w:rPr>
                <w:iCs/>
              </w:rPr>
            </w:pPr>
            <w:r>
              <w:rPr>
                <w:rFonts w:eastAsia="Calibri" w:cs="Calibri" w:ascii="Calibri" w:hAnsi="Calibri"/>
                <w:iCs/>
                <w:sz w:val="22"/>
              </w:rPr>
              <w:t>„</w:t>
            </w:r>
            <w:r>
              <w:rPr>
                <w:rFonts w:eastAsia="Calibri" w:cs="Calibri" w:ascii="Calibri" w:hAnsi="Calibri"/>
                <w:iCs/>
                <w:sz w:val="22"/>
              </w:rPr>
              <w:t xml:space="preserve">generowanie raportów” - nie wskazuje na e-usługę, </w:t>
            </w:r>
          </w:p>
          <w:p>
            <w:pPr>
              <w:pStyle w:val="ListParagraph"/>
              <w:numPr>
                <w:ilvl w:val="0"/>
                <w:numId w:val="29"/>
              </w:numPr>
              <w:spacing w:lineRule="auto" w:line="247" w:before="0" w:after="27"/>
              <w:ind w:hanging="360" w:left="360" w:right="39"/>
              <w:contextualSpacing/>
              <w:rPr>
                <w:iCs/>
              </w:rPr>
            </w:pPr>
            <w:r>
              <w:rPr>
                <w:rFonts w:eastAsia="Calibri" w:cs="Calibri" w:ascii="Calibri" w:hAnsi="Calibri"/>
                <w:iCs/>
                <w:sz w:val="22"/>
              </w:rPr>
              <w:t>„</w:t>
            </w:r>
            <w:r>
              <w:rPr>
                <w:rFonts w:eastAsia="Calibri" w:cs="Calibri" w:ascii="Calibri" w:hAnsi="Calibri"/>
                <w:iCs/>
                <w:sz w:val="22"/>
              </w:rPr>
              <w:t xml:space="preserve">składanie wniosków w procesie budowlanym” – nie wskazuje na e-usługę, a grupę e-usług, </w:t>
            </w:r>
          </w:p>
          <w:p>
            <w:pPr>
              <w:pStyle w:val="ListParagraph"/>
              <w:numPr>
                <w:ilvl w:val="0"/>
                <w:numId w:val="29"/>
              </w:numPr>
              <w:spacing w:lineRule="auto" w:line="247" w:before="0" w:after="27"/>
              <w:ind w:hanging="360" w:left="360" w:right="39"/>
              <w:contextualSpacing/>
              <w:rPr>
                <w:iCs/>
              </w:rPr>
            </w:pPr>
            <w:r>
              <w:rPr>
                <w:rFonts w:eastAsia="Calibri" w:cs="Calibri" w:ascii="Calibri" w:hAnsi="Calibri"/>
                <w:iCs/>
                <w:sz w:val="22"/>
              </w:rPr>
              <w:t>„</w:t>
            </w:r>
            <w:r>
              <w:rPr>
                <w:rFonts w:eastAsia="Calibri" w:cs="Calibri" w:ascii="Calibri" w:hAnsi="Calibri"/>
                <w:iCs/>
                <w:sz w:val="22"/>
              </w:rPr>
              <w:t xml:space="preserve">wnioskowanie o dowód osobisty” czy „rejestracja działalności gospodarczej za pośrednictwem systemów teleinformatycznych administracji publicznej” - wskazuje na e-usługę. </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Zdefiniowano 3 e-usługi publiczne jako czynności o charakterze dwustronnym (Wyszukiwanie i dostęp, Odtwarzanie i pobieranie, Automatyczne maszynowe udostępnianie metadanych). Dodano krótkie opisy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2.3. Udostępnione informacje sektora publicznego i zdigitalizowane zasoby</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Niezrozumiały jest zakres projektu w zakresie digitalizacji i udostępniania.</w:t>
            </w:r>
          </w:p>
          <w:p>
            <w:pPr>
              <w:pStyle w:val="Normal"/>
              <w:rPr>
                <w:rFonts w:ascii="Calibri" w:hAnsi="Calibri" w:cs="Calibri"/>
                <w:sz w:val="22"/>
                <w:szCs w:val="22"/>
              </w:rPr>
            </w:pPr>
            <w:r>
              <w:rPr>
                <w:rFonts w:cs="Calibri" w:ascii="Calibri" w:hAnsi="Calibri"/>
                <w:sz w:val="22"/>
                <w:szCs w:val="22"/>
              </w:rPr>
              <w:t xml:space="preserve">W kolumnie „Rodzaj informacji/zasobów” sugeruje się zaprezentowanie informacji/ zasobów w następujący sposób: </w:t>
            </w:r>
          </w:p>
          <w:p>
            <w:pPr>
              <w:pStyle w:val="ListParagraph"/>
              <w:numPr>
                <w:ilvl w:val="0"/>
                <w:numId w:val="18"/>
              </w:numPr>
              <w:rPr>
                <w:rFonts w:ascii="Calibri" w:hAnsi="Calibri" w:cs="Calibri"/>
                <w:sz w:val="22"/>
                <w:szCs w:val="22"/>
              </w:rPr>
            </w:pPr>
            <w:r>
              <w:rPr>
                <w:rFonts w:cs="Calibri" w:ascii="Calibri" w:hAnsi="Calibri"/>
                <w:sz w:val="22"/>
                <w:szCs w:val="22"/>
              </w:rPr>
              <w:t>„</w:t>
            </w:r>
            <w:r>
              <w:rPr>
                <w:rFonts w:cs="Calibri" w:ascii="Calibri" w:hAnsi="Calibri"/>
                <w:sz w:val="22"/>
                <w:szCs w:val="22"/>
              </w:rPr>
              <w:t>Zdigitalizowane i udostępnione…” (jeśli zasób będzie digitalizowany i jednocześnie udostępniony w ramach projektu);</w:t>
            </w:r>
          </w:p>
          <w:p>
            <w:pPr>
              <w:pStyle w:val="ListParagraph"/>
              <w:numPr>
                <w:ilvl w:val="0"/>
                <w:numId w:val="18"/>
              </w:numPr>
              <w:rPr>
                <w:rFonts w:ascii="Calibri" w:hAnsi="Calibri" w:cs="Calibri"/>
                <w:sz w:val="22"/>
                <w:szCs w:val="22"/>
              </w:rPr>
            </w:pPr>
            <w:r>
              <w:rPr>
                <w:rFonts w:cs="Calibri" w:ascii="Calibri" w:hAnsi="Calibri"/>
                <w:sz w:val="22"/>
                <w:szCs w:val="22"/>
              </w:rPr>
              <w:t>„</w:t>
            </w:r>
            <w:r>
              <w:rPr>
                <w:rFonts w:cs="Calibri" w:ascii="Calibri" w:hAnsi="Calibri"/>
                <w:sz w:val="22"/>
                <w:szCs w:val="22"/>
              </w:rPr>
              <w:t>Udostępnione…” (jeśli zasób nie będzie digitalizowany w ramach projektu, ale będzie udostępniony);</w:t>
            </w:r>
          </w:p>
          <w:p>
            <w:pPr>
              <w:pStyle w:val="ListParagraph"/>
              <w:numPr>
                <w:ilvl w:val="0"/>
                <w:numId w:val="18"/>
              </w:numPr>
              <w:rPr>
                <w:rFonts w:ascii="Calibri" w:hAnsi="Calibri" w:cs="Calibri"/>
                <w:sz w:val="22"/>
                <w:szCs w:val="22"/>
              </w:rPr>
            </w:pPr>
            <w:r>
              <w:rPr>
                <w:rFonts w:cs="Calibri" w:ascii="Calibri" w:hAnsi="Calibri"/>
                <w:sz w:val="22"/>
                <w:szCs w:val="22"/>
              </w:rPr>
              <w:t>„</w:t>
            </w:r>
            <w:r>
              <w:rPr>
                <w:rFonts w:cs="Calibri" w:ascii="Calibri" w:hAnsi="Calibri"/>
                <w:sz w:val="22"/>
                <w:szCs w:val="22"/>
              </w:rPr>
              <w:t>Zdigitalizowane…” (jeśli zasób będzie digitalizowany, ale nie będzie udostępniony w ramach projektu).</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Ujednolicono nazewnictwo w tabeli zasobów, stosując wyłącznie wymagane frazy: „Zdigitalizowane i udostępnione zasoby piśmiennicze...”, „Zdigitalizowane i udostępnione materiały fotograficzne...”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asciiTheme="minorHAnsi" w:cstheme="minorHAnsi" w:hAnsiTheme="minorHAnsi"/>
                <w:sz w:val="22"/>
                <w:szCs w:val="22"/>
              </w:rPr>
              <w:t>2.3. Udostępnione informacje sektora publicznego i zdigitalizowane zasoby</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color w:val="000000"/>
                <w:sz w:val="22"/>
                <w:szCs w:val="22"/>
              </w:rPr>
            </w:pPr>
            <w:r>
              <w:rPr>
                <w:rFonts w:cs="Calibri" w:ascii="Calibri" w:hAnsi="Calibri"/>
                <w:color w:val="000000"/>
                <w:sz w:val="22"/>
                <w:szCs w:val="22"/>
              </w:rPr>
              <w:t>Zaplanowano przechowywanie bezstratnych master-plików (TIFF, WAV, MKV) na lokalnym serwerze NAS z macierzą RAID oraz stosowanie blokady zapisu WORM</w:t>
            </w:r>
          </w:p>
          <w:p>
            <w:pPr>
              <w:pStyle w:val="Normal"/>
              <w:rPr>
                <w:rFonts w:ascii="Calibri" w:hAnsi="Calibri" w:cs="Calibri"/>
                <w:color w:val="000000"/>
                <w:sz w:val="22"/>
                <w:szCs w:val="22"/>
              </w:rPr>
            </w:pPr>
            <w:r>
              <w:rPr>
                <w:rFonts w:cs="Calibri" w:ascii="Calibri" w:hAnsi="Calibri"/>
                <w:color w:val="000000"/>
                <w:sz w:val="22"/>
                <w:szCs w:val="22"/>
              </w:rPr>
            </w:r>
          </w:p>
          <w:p>
            <w:pPr>
              <w:pStyle w:val="Normal"/>
              <w:rPr>
                <w:rFonts w:ascii="Calibri" w:hAnsi="Calibri" w:cs="Calibri"/>
                <w:color w:val="000000"/>
                <w:sz w:val="22"/>
                <w:szCs w:val="22"/>
              </w:rPr>
            </w:pPr>
            <w:r>
              <w:rPr>
                <w:rFonts w:cs="Calibri" w:ascii="Calibri" w:hAnsi="Calibri"/>
                <w:color w:val="000000"/>
                <w:sz w:val="22"/>
                <w:szCs w:val="22"/>
              </w:rPr>
              <w:t>Należy wdrożyć procedurę cyklicznej weryfikacji plików wzorcowych w długim okresie przechowywania + zapewnienie dodatkowej kopii zapasowej</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wyjaśnienie</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Do opisu technologicznego dodano procedurę automatycznej weryfikacji sum kontrolnych (Cron) przeciw degradacji danych oraz replikację do zewnętrznego repozytorium zapasowego platformy KRONIK@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sz w:val="22"/>
                <w:szCs w:val="22"/>
              </w:rPr>
              <w:t>2.4. Produkty końcowe projektu</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i/>
                <w:iCs/>
                <w:sz w:val="22"/>
                <w:szCs w:val="22"/>
              </w:rPr>
              <w:t xml:space="preserve"> </w:t>
            </w:r>
            <w:r>
              <w:rPr>
                <w:rFonts w:cs="Calibri" w:ascii="Calibri" w:hAnsi="Calibri"/>
                <w:sz w:val="22"/>
                <w:szCs w:val="22"/>
              </w:rPr>
              <w:t>W tej części należy wskazać:</w:t>
            </w:r>
          </w:p>
          <w:p>
            <w:pPr>
              <w:pStyle w:val="ListParagraph"/>
              <w:numPr>
                <w:ilvl w:val="0"/>
                <w:numId w:val="15"/>
              </w:numPr>
              <w:rPr>
                <w:rFonts w:ascii="Calibri" w:hAnsi="Calibri" w:cs="Calibri"/>
                <w:sz w:val="22"/>
                <w:szCs w:val="22"/>
              </w:rPr>
            </w:pPr>
            <w:r>
              <w:rPr>
                <w:rFonts w:cs="Calibri" w:ascii="Calibri" w:hAnsi="Calibri"/>
                <w:sz w:val="22"/>
                <w:szCs w:val="22"/>
              </w:rPr>
              <w:t>produkty projektu inne niż w pkt 2.2 i 2.3 – nie będzie tu zatem udostępnionych e-usług;</w:t>
            </w:r>
          </w:p>
          <w:p>
            <w:pPr>
              <w:pStyle w:val="ListParagraph"/>
              <w:numPr>
                <w:ilvl w:val="0"/>
                <w:numId w:val="15"/>
              </w:numPr>
              <w:rPr>
                <w:rFonts w:ascii="Calibri" w:hAnsi="Calibri" w:cs="Calibri"/>
                <w:sz w:val="22"/>
                <w:szCs w:val="22"/>
              </w:rPr>
            </w:pPr>
            <w:r>
              <w:rPr>
                <w:rFonts w:cs="Calibri" w:ascii="Calibri" w:hAnsi="Calibri"/>
                <w:sz w:val="22"/>
                <w:szCs w:val="22"/>
              </w:rPr>
              <w:t>końcowe produkty specjalistyczne projektu, nie będą to np.: „Comiesięczne raporty z prac zespołu merytorycznego”, „Opracowana dokumentacja przetargowa na Inżyniera Kontraktu”, „Miesięczne raporty z budowy Systemu”, „Raport z odbioru infrastruktury”, „Raport z odbioru infrastruktury drobnej”;</w:t>
            </w:r>
          </w:p>
          <w:p>
            <w:pPr>
              <w:pStyle w:val="ListParagraph"/>
              <w:numPr>
                <w:ilvl w:val="0"/>
                <w:numId w:val="15"/>
              </w:numPr>
              <w:rPr>
                <w:rFonts w:ascii="Calibri" w:hAnsi="Calibri" w:cs="Calibri"/>
                <w:sz w:val="22"/>
                <w:szCs w:val="22"/>
              </w:rPr>
            </w:pPr>
            <w:r>
              <w:rPr>
                <w:rFonts w:cs="Calibri" w:ascii="Calibri" w:hAnsi="Calibri"/>
                <w:sz w:val="22"/>
                <w:szCs w:val="22"/>
              </w:rPr>
              <w:t>katalog końcowych produktów specjalistycznych projektów informatycznych, który obejmuje:</w:t>
            </w:r>
          </w:p>
          <w:p>
            <w:pPr>
              <w:pStyle w:val="ListParagraph"/>
              <w:numPr>
                <w:ilvl w:val="0"/>
                <w:numId w:val="14"/>
              </w:numPr>
              <w:rPr>
                <w:rFonts w:ascii="Calibri" w:hAnsi="Calibri" w:cs="Calibri"/>
                <w:sz w:val="22"/>
                <w:szCs w:val="22"/>
              </w:rPr>
            </w:pPr>
            <w:r>
              <w:rPr>
                <w:rFonts w:cs="Calibri" w:ascii="Calibri" w:hAnsi="Calibri" w:asciiTheme="minorHAnsi" w:cstheme="minorHAnsi" w:hAnsiTheme="minorHAnsi"/>
                <w:b/>
                <w:bCs/>
                <w:sz w:val="22"/>
                <w:szCs w:val="22"/>
              </w:rPr>
              <w:t>„</w:t>
            </w:r>
            <w:r>
              <w:rPr>
                <w:rFonts w:cs="Calibri" w:ascii="Calibri" w:hAnsi="Calibri" w:asciiTheme="minorHAnsi" w:cstheme="minorHAnsi" w:hAnsiTheme="minorHAnsi"/>
                <w:b/>
                <w:bCs/>
                <w:sz w:val="22"/>
                <w:szCs w:val="22"/>
              </w:rPr>
              <w:t>System Repozytorium Cyfrowego (CMS)”</w:t>
            </w:r>
          </w:p>
          <w:p>
            <w:pPr>
              <w:pStyle w:val="ListParagraph"/>
              <w:numPr>
                <w:ilvl w:val="0"/>
                <w:numId w:val="14"/>
              </w:numPr>
              <w:spacing w:before="0" w:after="0"/>
              <w:contextualSpacing w:val="false"/>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w:t>
            </w:r>
            <w:r>
              <w:rPr>
                <w:rFonts w:cs="Calibri" w:ascii="Calibri" w:hAnsi="Calibri" w:asciiTheme="minorHAnsi" w:cstheme="minorHAnsi" w:hAnsiTheme="minorHAnsi"/>
                <w:b/>
                <w:bCs/>
                <w:sz w:val="22"/>
                <w:szCs w:val="22"/>
              </w:rPr>
              <w:t>Infrastruktura sprzętowo-sieciowa składająca się z lokalnego serwera NAS (macierzy dyskowej RAID) do bezpiecznego, długoterminowego przechowywania bezstratnych kopii wzorcowych (TIFF/WAV/MKV) oraz sprzętowego stanowiska skanowania wielkoformatowego B3”</w:t>
            </w:r>
          </w:p>
          <w:p>
            <w:pPr>
              <w:pStyle w:val="ListParagraph"/>
              <w:numPr>
                <w:ilvl w:val="0"/>
                <w:numId w:val="14"/>
              </w:numPr>
              <w:spacing w:before="0" w:after="0"/>
              <w:contextualSpacing w:val="false"/>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w:t>
            </w:r>
            <w:r>
              <w:rPr>
                <w:rFonts w:cs="Calibri" w:ascii="Calibri" w:hAnsi="Calibri" w:asciiTheme="minorHAnsi" w:cstheme="minorHAnsi" w:hAnsiTheme="minorHAnsi"/>
                <w:b/>
                <w:bCs/>
                <w:sz w:val="22"/>
                <w:szCs w:val="22"/>
              </w:rPr>
              <w:t>Interfejs API”</w:t>
            </w:r>
          </w:p>
          <w:p>
            <w:pPr>
              <w:pStyle w:val="ListParagraph"/>
              <w:numPr>
                <w:ilvl w:val="0"/>
                <w:numId w:val="14"/>
              </w:numPr>
              <w:rPr>
                <w:rFonts w:ascii="Calibri" w:hAnsi="Calibri" w:cs="Calibri"/>
                <w:sz w:val="22"/>
                <w:szCs w:val="22"/>
              </w:rPr>
            </w:pPr>
            <w:r>
              <w:rPr>
                <w:rFonts w:cs="Calibri" w:ascii="Calibri" w:hAnsi="Calibri"/>
                <w:b/>
                <w:bCs/>
                <w:sz w:val="22"/>
                <w:szCs w:val="22"/>
              </w:rPr>
              <w:t>„</w:t>
            </w:r>
            <w:r>
              <w:rPr>
                <w:rFonts w:cs="Calibri" w:ascii="Calibri" w:hAnsi="Calibri"/>
                <w:b/>
                <w:bCs/>
                <w:sz w:val="22"/>
                <w:szCs w:val="22"/>
              </w:rPr>
              <w:t xml:space="preserve">Raport z inicjalnego testu prywatności” </w:t>
            </w:r>
            <w:r>
              <w:rPr>
                <w:rFonts w:cs="Calibri" w:ascii="Calibri" w:hAnsi="Calibri"/>
                <w:sz w:val="22"/>
                <w:szCs w:val="22"/>
              </w:rPr>
              <w:t>(termin: pierwszy miesiąc realizacji projektu)</w:t>
            </w:r>
          </w:p>
          <w:p>
            <w:pPr>
              <w:pStyle w:val="ListParagraph"/>
              <w:numPr>
                <w:ilvl w:val="0"/>
                <w:numId w:val="14"/>
              </w:numPr>
              <w:spacing w:before="0" w:after="0"/>
              <w:contextualSpacing w:val="false"/>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w:t>
            </w:r>
            <w:r>
              <w:rPr>
                <w:rFonts w:cs="Calibri" w:ascii="Calibri" w:hAnsi="Calibri" w:asciiTheme="minorHAnsi" w:cstheme="minorHAnsi" w:hAnsiTheme="minorHAnsi"/>
                <w:b/>
                <w:bCs/>
                <w:sz w:val="22"/>
                <w:szCs w:val="22"/>
              </w:rPr>
              <w:t>Raport z testów bezpieczeństwa”</w:t>
            </w:r>
          </w:p>
          <w:p>
            <w:pPr>
              <w:pStyle w:val="ListParagraph"/>
              <w:numPr>
                <w:ilvl w:val="0"/>
                <w:numId w:val="14"/>
              </w:numPr>
              <w:spacing w:before="0" w:after="0"/>
              <w:contextualSpacing w:val="false"/>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w:t>
            </w:r>
            <w:r>
              <w:rPr>
                <w:rFonts w:cs="Calibri" w:ascii="Calibri" w:hAnsi="Calibri" w:asciiTheme="minorHAnsi" w:cstheme="minorHAnsi" w:hAnsiTheme="minorHAnsi"/>
                <w:b/>
                <w:bCs/>
                <w:sz w:val="22"/>
                <w:szCs w:val="22"/>
              </w:rPr>
              <w:t>Raport z testów wydajności”</w:t>
            </w:r>
          </w:p>
          <w:p>
            <w:pPr>
              <w:pStyle w:val="ListParagraph"/>
              <w:numPr>
                <w:ilvl w:val="0"/>
                <w:numId w:val="14"/>
              </w:numPr>
              <w:spacing w:before="0" w:after="0"/>
              <w:contextualSpacing w:val="false"/>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w:t>
            </w:r>
            <w:r>
              <w:rPr>
                <w:rFonts w:cs="Calibri" w:ascii="Calibri" w:hAnsi="Calibri" w:asciiTheme="minorHAnsi" w:cstheme="minorHAnsi" w:hAnsiTheme="minorHAnsi"/>
                <w:b/>
                <w:bCs/>
                <w:sz w:val="22"/>
                <w:szCs w:val="22"/>
              </w:rPr>
              <w:t>Raport z testów badań UX”</w:t>
            </w:r>
          </w:p>
          <w:p>
            <w:pPr>
              <w:pStyle w:val="ListParagraph"/>
              <w:numPr>
                <w:ilvl w:val="0"/>
                <w:numId w:val="14"/>
              </w:numPr>
              <w:spacing w:before="0" w:after="0"/>
              <w:contextualSpacing w:val="false"/>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w:t>
            </w:r>
            <w:r>
              <w:rPr>
                <w:rFonts w:cs="Calibri" w:ascii="Calibri" w:hAnsi="Calibri" w:asciiTheme="minorHAnsi" w:cstheme="minorHAnsi" w:hAnsiTheme="minorHAnsi"/>
                <w:b/>
                <w:bCs/>
                <w:sz w:val="22"/>
                <w:szCs w:val="22"/>
              </w:rPr>
              <w:t xml:space="preserve">Materiały szkoleniowe” </w:t>
            </w:r>
          </w:p>
          <w:p>
            <w:pPr>
              <w:pStyle w:val="ListParagraph"/>
              <w:numPr>
                <w:ilvl w:val="0"/>
                <w:numId w:val="14"/>
              </w:numPr>
              <w:spacing w:before="0" w:after="0"/>
              <w:contextualSpacing w:val="false"/>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w:t>
            </w:r>
            <w:r>
              <w:rPr>
                <w:rFonts w:cs="Calibri" w:ascii="Calibri" w:hAnsi="Calibri" w:asciiTheme="minorHAnsi" w:cstheme="minorHAnsi" w:hAnsiTheme="minorHAnsi"/>
                <w:b/>
                <w:bCs/>
                <w:sz w:val="22"/>
                <w:szCs w:val="22"/>
              </w:rPr>
              <w:t xml:space="preserve">Materiały informacyjno-promocyjne” </w:t>
            </w:r>
          </w:p>
          <w:p>
            <w:pPr>
              <w:pStyle w:val="ListParagraph"/>
              <w:numPr>
                <w:ilvl w:val="0"/>
                <w:numId w:val="14"/>
              </w:numPr>
              <w:spacing w:before="0" w:after="0"/>
              <w:contextualSpacing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Inne produkty, w tym dokumenty specjalistyczne (nie zarządcze), materiały na które zostały poniesione koszty</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Wykaz wymienianych produktów w zakresie:</w:t>
            </w:r>
          </w:p>
          <w:p>
            <w:pPr>
              <w:pStyle w:val="ListParagraph"/>
              <w:numPr>
                <w:ilvl w:val="0"/>
                <w:numId w:val="14"/>
              </w:numPr>
              <w:spacing w:before="0" w:after="0"/>
              <w:contextualSpacing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systemów – musi być spójny z informacjami prezentowanymi w pkt 7.1 na grafice i „Liście systemów…” oraz  w pkt 4.2 w kolumnie pierwszej i drugiej tabeli, a także w pkt 7.2 na grafice prezentującej ich komponenty (każdy system powinien być prezentowany odrębnie);</w:t>
            </w:r>
          </w:p>
          <w:p>
            <w:pPr>
              <w:pStyle w:val="ListParagraph"/>
              <w:numPr>
                <w:ilvl w:val="0"/>
                <w:numId w:val="14"/>
              </w:numPr>
              <w:spacing w:before="0" w:after="0"/>
              <w:contextualSpacing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interfejsów API – musi być spójny z informacjami prezentowanymi w pkt 7.1 na grafice i „Liście przepływów..” oraz informacji podanych w pkt 4.2;</w:t>
            </w:r>
          </w:p>
          <w:p>
            <w:pPr>
              <w:pStyle w:val="ListParagraph"/>
              <w:numPr>
                <w:ilvl w:val="0"/>
                <w:numId w:val="14"/>
              </w:numPr>
              <w:spacing w:before="0" w:after="0"/>
              <w:contextualSpacing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rejestrów – musi być spójny z informacjami prezentowanymi w pkt 7.4 w liście dot. tworzenia i modyfikacji zasobów danych o charakterze rejestru publicznego;</w:t>
            </w:r>
          </w:p>
          <w:p>
            <w:pPr>
              <w:pStyle w:val="ListParagraph"/>
              <w:numPr>
                <w:ilvl w:val="0"/>
                <w:numId w:val="14"/>
              </w:numPr>
              <w:spacing w:before="0" w:after="0"/>
              <w:contextualSpacing w:val="false"/>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raportów z testów lub materiałów – musi być spójny z informacjami prezentowanymi w pkt 4.2 w kolumnie pierwszej i drugiej tabeli;</w:t>
            </w:r>
          </w:p>
          <w:p>
            <w:pPr>
              <w:pStyle w:val="ListParagraph"/>
              <w:numPr>
                <w:ilvl w:val="0"/>
                <w:numId w:val="14"/>
              </w:numPr>
              <w:spacing w:before="0" w:after="0"/>
              <w:contextualSpacing w:val="false"/>
              <w:rPr>
                <w:rFonts w:ascii="Calibri" w:hAnsi="Calibri" w:cs="Calibri" w:asciiTheme="minorHAnsi" w:cstheme="minorHAnsi" w:hAnsiTheme="minorHAnsi"/>
                <w:b/>
                <w:bCs/>
                <w:sz w:val="22"/>
                <w:szCs w:val="22"/>
              </w:rPr>
            </w:pPr>
            <w:r>
              <w:rPr>
                <w:rFonts w:cs="Calibri" w:ascii="Calibri" w:hAnsi="Calibri" w:asciiTheme="minorHAnsi" w:cstheme="minorHAnsi" w:hAnsiTheme="minorHAnsi"/>
                <w:sz w:val="22"/>
                <w:szCs w:val="22"/>
              </w:rPr>
              <w:t>kategorie infrastruktury muszą wynikać z informacji podanych w pkt 4.2 (opisane w drugiej kolumnie tabeli).</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Oczyszczono sekcję z e-usług i raportów zarządczych. Pozostawiono wyłącznie produkty specjalistyczne (CMS, Infrastruktura NAS, API, Raporty z testów UX/Wydajności/Cyberbezpieczeństwa/DPIA, Szkolenia)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sz w:val="22"/>
                <w:szCs w:val="22"/>
              </w:rPr>
              <w:t>3. Kamienie milowe</w:t>
            </w:r>
          </w:p>
        </w:tc>
        <w:tc>
          <w:tcPr>
            <w:tcW w:w="5645" w:type="dxa"/>
            <w:tcBorders>
              <w:top w:val="single" w:sz="4" w:space="0" w:color="000000"/>
              <w:left w:val="single" w:sz="4" w:space="0" w:color="000000"/>
              <w:bottom w:val="single" w:sz="4" w:space="0" w:color="000000"/>
              <w:right w:val="single" w:sz="4" w:space="0" w:color="000000"/>
            </w:tcBorders>
          </w:tcPr>
          <w:p>
            <w:pPr>
              <w:pStyle w:val="ListParagraph"/>
              <w:numPr>
                <w:ilvl w:val="0"/>
                <w:numId w:val="44"/>
              </w:numPr>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Nie wykazano wszystkich wymagalnych kamieni milowych odnoszących się do głównych produktów projektu</w:t>
            </w:r>
          </w:p>
          <w:p>
            <w:pPr>
              <w:pStyle w:val="ListParagraph"/>
              <w:numPr>
                <w:ilvl w:val="0"/>
                <w:numId w:val="2"/>
              </w:numPr>
              <w:ind w:hanging="357" w:left="357"/>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Kamienie milowe są wyznaczane w określonych, w miarę możliwości, równych odstępach w całym okresie trwania projektu, maksymalnie w okresach półrocznych, pozwalając na monitorowanie postępu prac w projekcie. </w:t>
            </w:r>
          </w:p>
          <w:p>
            <w:pPr>
              <w:pStyle w:val="Normal"/>
              <w:ind w:left="357"/>
              <w:jc w:val="both"/>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W przypadku projektów, których realizacja jest krótsza niż trzy lata, częstotliwość określenia kamieni milowych powinna być jeszcze większa.</w:t>
            </w:r>
          </w:p>
          <w:p>
            <w:pPr>
              <w:pStyle w:val="ListParagraph"/>
              <w:numPr>
                <w:ilvl w:val="0"/>
                <w:numId w:val="2"/>
              </w:numPr>
              <w:ind w:hanging="360" w:left="36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Rekomenduje się, aby kamień milowy stanowiły np.: </w:t>
            </w:r>
          </w:p>
          <w:p>
            <w:pPr>
              <w:pStyle w:val="ListParagraph"/>
              <w:numPr>
                <w:ilvl w:val="0"/>
                <w:numId w:val="3"/>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przeprowadzone testy prywatności</w:t>
            </w:r>
            <w:r>
              <w:rPr>
                <w:rFonts w:cs="Calibri" w:ascii="Calibri" w:hAnsi="Calibri" w:asciiTheme="minorHAnsi" w:cstheme="minorHAnsi" w:hAnsiTheme="minorHAnsi"/>
                <w:sz w:val="22"/>
                <w:szCs w:val="22"/>
              </w:rPr>
              <w:t xml:space="preserve">, tj. przeprowadzony inicjalny test prywatności (przeprowadzany na etapie projektowania założeń projektu) oraz dodatkowo przeprowadzony weryfikacyjny test prywatności (przeprowadzany w trakcie realizacji projektu), </w:t>
            </w:r>
          </w:p>
          <w:p>
            <w:pPr>
              <w:pStyle w:val="ListParagraph"/>
              <w:numPr>
                <w:ilvl w:val="0"/>
                <w:numId w:val="3"/>
              </w:numPr>
              <w:jc w:val="both"/>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 xml:space="preserve">rozstrzygnięte postępowania przetargowe na główne produkty projektu, </w:t>
            </w:r>
          </w:p>
          <w:p>
            <w:pPr>
              <w:pStyle w:val="ListParagraph"/>
              <w:numPr>
                <w:ilvl w:val="0"/>
                <w:numId w:val="3"/>
              </w:numPr>
              <w:jc w:val="both"/>
              <w:rPr>
                <w:rFonts w:ascii="Calibri" w:hAnsi="Calibri" w:cs="Calibri" w:asciiTheme="minorHAnsi" w:cstheme="minorHAnsi" w:hAnsiTheme="minorHAnsi"/>
                <w:b/>
                <w:bCs/>
                <w:sz w:val="22"/>
                <w:szCs w:val="22"/>
              </w:rPr>
            </w:pPr>
            <w:r>
              <w:rPr>
                <w:rFonts w:cs="Calibri" w:ascii="Calibri" w:hAnsi="Calibri" w:asciiTheme="minorHAnsi" w:cstheme="minorHAnsi" w:hAnsiTheme="minorHAnsi"/>
                <w:b/>
                <w:bCs/>
                <w:sz w:val="22"/>
                <w:szCs w:val="22"/>
              </w:rPr>
              <w:t xml:space="preserve">rozpoczęte procesy testowania oprogramowania, </w:t>
            </w:r>
          </w:p>
          <w:p>
            <w:pPr>
              <w:pStyle w:val="ListParagraph"/>
              <w:numPr>
                <w:ilvl w:val="0"/>
                <w:numId w:val="3"/>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pozytywne wyniki testów oprogramowania</w:t>
            </w:r>
            <w:r>
              <w:rPr>
                <w:rFonts w:cs="Calibri" w:ascii="Calibri" w:hAnsi="Calibri" w:asciiTheme="minorHAnsi" w:cstheme="minorHAnsi" w:hAnsiTheme="minorHAnsi"/>
                <w:sz w:val="22"/>
                <w:szCs w:val="22"/>
              </w:rPr>
              <w:t xml:space="preserve"> (testów bezpieczeństwa, wydajności, UX/UI), </w:t>
            </w:r>
          </w:p>
          <w:p>
            <w:pPr>
              <w:pStyle w:val="ListParagraph"/>
              <w:numPr>
                <w:ilvl w:val="0"/>
                <w:numId w:val="3"/>
              </w:numPr>
              <w:ind w:hanging="357" w:left="714"/>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odbiory gotowych rozwiązań informatycznych, w tym modułów oprogramowania (wdrożone poszczególne funkcjonalności oprogramowania), </w:t>
            </w:r>
          </w:p>
          <w:p>
            <w:pPr>
              <w:pStyle w:val="ListParagraph"/>
              <w:numPr>
                <w:ilvl w:val="0"/>
                <w:numId w:val="3"/>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wdrożone integracje sieciowe umożliwiające automatyczną wymianę danych z innymi systemami teleinformatycznymi,</w:t>
            </w:r>
          </w:p>
          <w:p>
            <w:pPr>
              <w:pStyle w:val="ListParagraph"/>
              <w:numPr>
                <w:ilvl w:val="0"/>
                <w:numId w:val="3"/>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zakończony proces digitalizacji zasobów (w określonej części lub całości), </w:t>
            </w:r>
          </w:p>
          <w:p>
            <w:pPr>
              <w:pStyle w:val="ListParagraph"/>
              <w:numPr>
                <w:ilvl w:val="0"/>
                <w:numId w:val="3"/>
              </w:numP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udostępnione zasoby (w określonej części lub całości).</w:t>
            </w:r>
          </w:p>
          <w:p>
            <w:pPr>
              <w:pStyle w:val="Normal"/>
              <w:rPr>
                <w:rFonts w:ascii="Calibri" w:hAnsi="Calibri" w:cs="Calibri"/>
                <w:sz w:val="22"/>
                <w:szCs w:val="22"/>
              </w:rPr>
            </w:pPr>
            <w:r>
              <w:rPr>
                <w:rFonts w:cs="Calibri" w:ascii="Calibri" w:hAnsi="Calibri"/>
                <w:sz w:val="22"/>
                <w:szCs w:val="22"/>
              </w:rPr>
              <w:t>4. Termin osiągnięcia kamienia milowego związanego z przeprowadzaniem:</w:t>
            </w:r>
          </w:p>
          <w:p>
            <w:pPr>
              <w:pStyle w:val="ListParagraph"/>
              <w:numPr>
                <w:ilvl w:val="0"/>
                <w:numId w:val="20"/>
              </w:numPr>
              <w:rPr>
                <w:rFonts w:ascii="Calibri" w:hAnsi="Calibri" w:cs="Calibri"/>
                <w:sz w:val="22"/>
                <w:szCs w:val="22"/>
              </w:rPr>
            </w:pPr>
            <w:r>
              <w:rPr>
                <w:rFonts w:cs="Calibri" w:ascii="Calibri" w:hAnsi="Calibri"/>
                <w:sz w:val="22"/>
                <w:szCs w:val="22"/>
              </w:rPr>
              <w:t>inicjalnego testu prywatności powinien być wyznaczony w pierwszym miesiącu realizacji projektu:</w:t>
            </w:r>
          </w:p>
          <w:p>
            <w:pPr>
              <w:pStyle w:val="Normal"/>
              <w:ind w:left="708"/>
              <w:rPr>
                <w:rFonts w:ascii="Calibri" w:hAnsi="Calibri" w:cs="Calibri"/>
                <w:sz w:val="22"/>
                <w:szCs w:val="22"/>
              </w:rPr>
            </w:pPr>
            <w:r>
              <w:rPr>
                <w:rFonts w:cs="Calibri" w:ascii="Calibri" w:hAnsi="Calibri"/>
                <w:sz w:val="22"/>
                <w:szCs w:val="22"/>
              </w:rPr>
              <w:t>Inicjalny test prywatności powinien zostać przeprowadzony w fazie planowania projektu. W fazie realizacji projektu (dokument opisu założeń dotyczy wyłącznie tej fazy) powinien być badany fakt przeprowadzenia tego testu na podstawie raportu podsumowującego (tzw. Raportu z inicjalnego testu prywatności) stanowiącego jeden z dokumentów specjalistycznych, analitycznych projektu będących podstawą jego realizacji;</w:t>
            </w:r>
          </w:p>
          <w:p>
            <w:pPr>
              <w:pStyle w:val="ListParagraph"/>
              <w:numPr>
                <w:ilvl w:val="0"/>
                <w:numId w:val="20"/>
              </w:numPr>
              <w:rPr>
                <w:rFonts w:ascii="Calibri" w:hAnsi="Calibri" w:cs="Calibri"/>
                <w:sz w:val="22"/>
                <w:szCs w:val="22"/>
              </w:rPr>
            </w:pPr>
            <w:r>
              <w:rPr>
                <w:rFonts w:cs="Calibri" w:ascii="Calibri" w:hAnsi="Calibri"/>
                <w:sz w:val="22"/>
                <w:szCs w:val="22"/>
              </w:rPr>
              <w:t>weryfikacyjnego testu prywatności – powinien być wyznaczony najpóźniej 3 miesiące przed oddaniem do użytkowania pierwszego z systemów teleinformatycznych (modyfikacji lub budowy) będących produktem projektu przetwarzającego dane osobowe</w:t>
            </w:r>
          </w:p>
          <w:p>
            <w:pPr>
              <w:pStyle w:val="Normal"/>
              <w:ind w:left="708"/>
              <w:rPr>
                <w:rFonts w:ascii="Calibri" w:hAnsi="Calibri" w:cs="Calibri"/>
                <w:sz w:val="22"/>
                <w:szCs w:val="22"/>
              </w:rPr>
            </w:pPr>
            <w:r>
              <w:rPr>
                <w:rFonts w:cs="Calibri" w:ascii="Calibri" w:hAnsi="Calibri"/>
                <w:sz w:val="22"/>
                <w:szCs w:val="22"/>
              </w:rPr>
              <w:t>Weryfikacyjne testy prywatności powinny być przeprowadzone w fazie realizacji projektu i mają na celu zweryfikowanie, w kontekście zmieniającego się otoczenia prawnego, aktualności wyników inicjalnego testu prywatności.</w:t>
            </w:r>
          </w:p>
          <w:p>
            <w:pPr>
              <w:pStyle w:val="Normal"/>
              <w:ind w:left="708"/>
              <w:rPr>
                <w:rFonts w:ascii="Calibri" w:hAnsi="Calibri" w:cs="Calibri"/>
                <w:sz w:val="22"/>
                <w:szCs w:val="22"/>
              </w:rPr>
            </w:pPr>
            <w:r>
              <w:rPr>
                <w:rFonts w:cs="Calibri" w:ascii="Calibri" w:hAnsi="Calibri"/>
                <w:sz w:val="22"/>
                <w:szCs w:val="22"/>
              </w:rPr>
              <w:t>Test prywatności wynika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 dotyczy weryfikacji zasad przetwarzania danych osobowych określonych w art. 5 rozporządzenia, w szczególności zgodności z prawem, rzetelności i przejrzystości, ograniczenia przechowywania, integralności i poufności oraz zasadę rozliczalności.</w:t>
            </w:r>
          </w:p>
          <w:p>
            <w:pPr>
              <w:pStyle w:val="Normal"/>
              <w:ind w:left="708"/>
              <w:rPr>
                <w:rFonts w:ascii="Calibri" w:hAnsi="Calibri" w:cs="Calibri"/>
                <w:sz w:val="22"/>
                <w:szCs w:val="22"/>
              </w:rPr>
            </w:pPr>
            <w:r>
              <w:rPr>
                <w:rFonts w:cs="Calibri" w:ascii="Calibri" w:hAnsi="Calibri"/>
                <w:sz w:val="22"/>
                <w:szCs w:val="22"/>
              </w:rPr>
              <w:t>Test prywatności obejmuje m.in.:</w:t>
            </w:r>
          </w:p>
          <w:p>
            <w:pPr>
              <w:pStyle w:val="ListParagraph"/>
              <w:numPr>
                <w:ilvl w:val="0"/>
                <w:numId w:val="19"/>
              </w:numPr>
              <w:ind w:hanging="360" w:left="1050"/>
              <w:rPr>
                <w:rFonts w:ascii="Calibri" w:hAnsi="Calibri" w:cs="Calibri"/>
                <w:sz w:val="22"/>
                <w:szCs w:val="22"/>
              </w:rPr>
            </w:pPr>
            <w:r>
              <w:rPr>
                <w:rFonts w:cs="Calibri" w:ascii="Calibri" w:hAnsi="Calibri"/>
                <w:sz w:val="22"/>
                <w:szCs w:val="22"/>
              </w:rPr>
              <w:t>analizę potrzeb i wdrożenie środków technicznych i organizacyjnych w celu skutecznej realizacji zasad ochrony danych oraz nadania przetwarzaniu niezbędnych zabezpieczeń (art. 25 ogólnego rozporządzenie o ochronie danych),</w:t>
            </w:r>
          </w:p>
          <w:p>
            <w:pPr>
              <w:pStyle w:val="ListParagraph"/>
              <w:numPr>
                <w:ilvl w:val="0"/>
                <w:numId w:val="19"/>
              </w:numPr>
              <w:ind w:hanging="360" w:left="1050"/>
              <w:rPr>
                <w:rFonts w:ascii="Calibri" w:hAnsi="Calibri" w:cs="Calibri"/>
                <w:sz w:val="22"/>
                <w:szCs w:val="22"/>
              </w:rPr>
            </w:pPr>
            <w:r>
              <w:rPr>
                <w:rFonts w:cs="Calibri" w:ascii="Calibri" w:hAnsi="Calibri"/>
                <w:sz w:val="22"/>
                <w:szCs w:val="22"/>
              </w:rPr>
              <w:t>ocenę skutków dla ochrony danych (art. 35 ogólnego rozporządzenie o ochronie danych).</w:t>
            </w:r>
          </w:p>
          <w:p>
            <w:pPr>
              <w:pStyle w:val="Normal"/>
              <w:ind w:left="690"/>
              <w:rPr>
                <w:rFonts w:ascii="Calibri" w:hAnsi="Calibri" w:cs="Calibri"/>
                <w:sz w:val="22"/>
                <w:szCs w:val="22"/>
              </w:rPr>
            </w:pPr>
            <w:r>
              <w:rPr>
                <w:rFonts w:cs="Calibri" w:ascii="Calibri" w:hAnsi="Calibri"/>
                <w:sz w:val="22"/>
                <w:szCs w:val="22"/>
              </w:rPr>
              <w:t>Pełny zakres testu prywatności zależy od aspektów przetwarzania danych osobowych, jakich dotyczy projekt, np. jeżeli planowane jest przetwarzanie danych osobowych z użyciem technologii sztucznej inteligencji, to wymagane jest przeprowadzenie w tym zakresie pogłębionej analizy w zakresie aspektów, o których mowa w opinii Europejskiej Rady Ochrony Danych (EROD) 28/2024 z 17 grudnia 2024 r. w sprawie wykorzystywania danych osobowych do opracowywania i wdrażania modeli sztucznej inteligencji.</w:t>
            </w:r>
          </w:p>
          <w:p>
            <w:pPr>
              <w:pStyle w:val="Normal"/>
              <w:rPr>
                <w:rFonts w:ascii="Calibri" w:hAnsi="Calibri" w:cs="Calibri"/>
                <w:sz w:val="22"/>
                <w:szCs w:val="22"/>
              </w:rPr>
            </w:pPr>
            <w:r>
              <w:rPr>
                <w:rFonts w:cs="Calibri" w:ascii="Calibri" w:hAnsi="Calibri"/>
                <w:sz w:val="22"/>
                <w:szCs w:val="22"/>
              </w:rPr>
              <w:t>5. Ostatni kamień milowy powinien korespondować z datą zakończenia rzeczowej realizacji projektu, gdzie zakończenie rzeczowej realizacji projektu to koniec fazy realizacji, tj. moment wytworzenia i wdrożenia wszystkich produktów projektu.</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Dodano wymagalne kamienie milowe (w odstępach max. półrocznych) obejmujące: testy prywatności (inicjalny i weryfikacyjny), rozstrzygnięcie przetargów, start testów i wdrożenie integracji sieciowych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asciiTheme="minorHAnsi" w:cstheme="minorHAnsi" w:hAnsiTheme="minorHAnsi"/>
                <w:sz w:val="22"/>
                <w:szCs w:val="22"/>
              </w:rPr>
              <w:t>3. Kamienie milowe</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Kamienie milowe powinny określać dokonaną czynność, fakt – np. zamiast „Rozstrzygnięcie postępowań zakupowych…” powinno być: „Rozstrzygnięte postępowania zakupowe…”.</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Zmieniono formę gramatyczną nazw kamieni milowych na dokonaną (np. „Powołany Zespół...”, „Zakończona inwentaryzacja...”, „Rozstrzygnięte postępowania...”, „Wdrożone interfejsy...”)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asciiTheme="minorHAnsi" w:cstheme="minorHAnsi" w:hAnsiTheme="minorHAnsi"/>
                <w:sz w:val="22"/>
                <w:szCs w:val="22"/>
              </w:rPr>
              <w:t>3. Kamienie milowe</w:t>
            </w:r>
          </w:p>
        </w:tc>
        <w:tc>
          <w:tcPr>
            <w:tcW w:w="5645" w:type="dxa"/>
            <w:tcBorders>
              <w:top w:val="single" w:sz="4" w:space="0" w:color="000000"/>
              <w:left w:val="single" w:sz="4" w:space="0" w:color="000000"/>
              <w:bottom w:val="single" w:sz="4" w:space="0" w:color="000000"/>
              <w:right w:val="single" w:sz="4" w:space="0" w:color="000000"/>
            </w:tcBorders>
          </w:tcPr>
          <w:p>
            <w:pPr>
              <w:pStyle w:val="Normal"/>
              <w:tabs>
                <w:tab w:val="clear" w:pos="708"/>
                <w:tab w:val="left" w:pos="1776" w:leader="none"/>
              </w:tabs>
              <w:rPr>
                <w:rFonts w:ascii="Calibri" w:hAnsi="Calibri" w:cs="Calibri"/>
                <w:color w:val="000000"/>
                <w:sz w:val="22"/>
                <w:szCs w:val="22"/>
              </w:rPr>
            </w:pPr>
            <w:r>
              <w:rPr>
                <w:rFonts w:cs="Calibri" w:ascii="Calibri" w:hAnsi="Calibri"/>
                <w:color w:val="000000"/>
                <w:sz w:val="22"/>
                <w:szCs w:val="22"/>
              </w:rPr>
              <w:t>Projekt zakłada budowę repozytorium opartego na standardzie metadanych Dublin Core oraz protokole OAI-PMH v2.0 w celu automatycznej wymiany danych z agregatorami (FBC, Europeana)</w:t>
            </w:r>
          </w:p>
          <w:p>
            <w:pPr>
              <w:pStyle w:val="Normal"/>
              <w:tabs>
                <w:tab w:val="clear" w:pos="708"/>
                <w:tab w:val="left" w:pos="1776" w:leader="none"/>
              </w:tabs>
              <w:rPr>
                <w:rFonts w:ascii="Calibri" w:hAnsi="Calibri" w:cs="Calibri"/>
                <w:color w:val="000000"/>
                <w:sz w:val="22"/>
                <w:szCs w:val="22"/>
              </w:rPr>
            </w:pPr>
            <w:r>
              <w:rPr>
                <w:rFonts w:cs="Calibri" w:ascii="Calibri" w:hAnsi="Calibri"/>
                <w:color w:val="000000"/>
                <w:sz w:val="22"/>
                <w:szCs w:val="22"/>
              </w:rPr>
              <w:t>Należy zapewnić pełną zgodność wdrożonego interfejsu API z wymogami Krajowych Ram Interoperacyjności (KRI). Rekomenduje się wykonanie testów automatycznego pobierania danych (harvestingu) przez system FBC przed odbiorem końcowym</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Zgodnie z rekomendacją KRI, do harmonogramu w ramach KM8 dopisano obowiązek przeprowadzenia pomyślnych, automatycznych testów harvestowania metadanych przez system FBC przed odbiorem końcowym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sz w:val="22"/>
                <w:szCs w:val="22"/>
              </w:rPr>
              <w:t>4.1. Koszty ogólne projektu wraz ze sposobem finansowania</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Należy podać dokładne wartości w polach „Procent dofinansowania ze środków UE (brutto)” oraz „Procent środków z budżetu państwa (brutto)”, tj. odpowiednio 79,71% i 20,29%.</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Wprowadzono precyzyjny podział montażu finansowego dla kwoty brutto: 79,71% dofinansowania ze środków UE (EFRR) oraz 20,29% ze środków współfinansowania krajowego z budżetu państwa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sz w:val="22"/>
                <w:szCs w:val="22"/>
              </w:rPr>
              <w:t>4.2. Wykaz poszczególnych pozycji kosztowych</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Należy uzupełnić informacje w pkt. 4.2. wg poniższej instrukcji niezależnie od tego czy są to działania własne pracowników podmiotu czy usługi zewnętrzne.</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 ramach każdej pozycji kosztowej, na którą planowane jest wydatkowanie środków finansowych w ramach projektu w „Planowanym okresie realizacji projektu” w kolumnie: </w:t>
            </w:r>
          </w:p>
          <w:p>
            <w:pPr>
              <w:pStyle w:val="ListParagraph"/>
              <w:numPr>
                <w:ilvl w:val="0"/>
                <w:numId w:val="45"/>
              </w:numPr>
              <w:ind w:hanging="316" w:left="316"/>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drugiej, połączonej w pierwszą pod nazwą „Nazwa pozycji kosztowej”: </w:t>
            </w:r>
          </w:p>
          <w:p>
            <w:pPr>
              <w:pStyle w:val="ListParagraph"/>
              <w:numPr>
                <w:ilvl w:val="0"/>
                <w:numId w:val="5"/>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należy podać informacje o konkretnych produktach końcowych lub cząstkowych projektu finansowanych w ramach danej pozycji kosztowej;</w:t>
            </w:r>
          </w:p>
          <w:p>
            <w:pPr>
              <w:pStyle w:val="ListParagraph"/>
              <w:numPr>
                <w:ilvl w:val="0"/>
                <w:numId w:val="5"/>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brak wypełnionej kolumny oznacza brak jakichkolwiek wydatków/produktów określonych nazwą pozycji kosztowej, co musi mieć swoje przełożenie na brak informacji w pozostałych kolumnach tabeli, tj. kolumnach „Przewidywany koszt brutto” oraz „Uzasadnienie pozycji kosztowej (przeznaczenie)”.</w:t>
            </w:r>
          </w:p>
          <w:p>
            <w:pPr>
              <w:pStyle w:val="ListParagraph"/>
              <w:numPr>
                <w:ilvl w:val="0"/>
                <w:numId w:val="4"/>
              </w:numPr>
              <w:ind w:hanging="316" w:left="316"/>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sz w:val="22"/>
                <w:szCs w:val="22"/>
              </w:rPr>
              <w:t xml:space="preserve">Przewidywany koszt brutto”: </w:t>
            </w:r>
          </w:p>
          <w:p>
            <w:pPr>
              <w:pStyle w:val="ListParagraph"/>
              <w:numPr>
                <w:ilvl w:val="0"/>
                <w:numId w:val="35"/>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należy podać przewidywany, szacunkowy całościowy koszt dla każdej pozycji kosztowej, tj. planowany koszt wydatkowania na produkty powiązane z daną pozycją kosztową wymienione w kolumnie drugiej tabeli.</w:t>
            </w:r>
          </w:p>
          <w:p>
            <w:pPr>
              <w:pStyle w:val="ListParagraph"/>
              <w:numPr>
                <w:ilvl w:val="0"/>
                <w:numId w:val="4"/>
              </w:numPr>
              <w:ind w:hanging="316" w:left="272"/>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sz w:val="22"/>
                <w:szCs w:val="22"/>
              </w:rPr>
              <w:t xml:space="preserve">Uzasadnienie pozycji kosztowej (przeznaczenie)”: </w:t>
            </w:r>
          </w:p>
          <w:p>
            <w:pPr>
              <w:pStyle w:val="ListParagraph"/>
              <w:numPr>
                <w:ilvl w:val="0"/>
                <w:numId w:val="35"/>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należy podać zwięzłe uzasadnienie potrzeby wydatkowania środków na tę pozycję kosztową, tj. na produkty powiązane z daną pozycją kosztową.</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 przypadku pozycji kosztowych:</w:t>
            </w:r>
          </w:p>
          <w:p>
            <w:pPr>
              <w:pStyle w:val="ListParagraph"/>
              <w:numPr>
                <w:ilvl w:val="0"/>
                <w:numId w:val="21"/>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Oprogramowanie</w:t>
            </w:r>
            <w:r>
              <w:rPr>
                <w:rFonts w:cs="Calibri" w:ascii="Calibri" w:hAnsi="Calibri" w:asciiTheme="minorHAnsi" w:cstheme="minorHAnsi" w:hAnsiTheme="minorHAnsi"/>
                <w:sz w:val="22"/>
                <w:szCs w:val="22"/>
              </w:rPr>
              <w:t xml:space="preserve">” – należy wykazać koszty np.: przygotowania dokumentacji analitycznej, sporządzenia studium wykonalności, wytworzenia oprogramowania, testów wewnętrznych (deweloperskich, jednostkowych, podstawowych testów end-to-end), funkcjonalnych i eksploracyjnych, w tym testów regresji i retestów, ekspertów programistycznych, stworzenia prototypów, zakupu gotowych rozwiązań, </w:t>
            </w:r>
            <w:r>
              <w:rPr>
                <w:rFonts w:cs="Calibri" w:ascii="Calibri" w:hAnsi="Calibri" w:asciiTheme="minorHAnsi" w:cstheme="minorHAnsi" w:hAnsiTheme="minorHAnsi"/>
                <w:b/>
                <w:bCs/>
                <w:sz w:val="22"/>
                <w:szCs w:val="22"/>
              </w:rPr>
              <w:t>przeprowadzenia digitalizacji dokumentów, udostępniania informacji i zbiorów danych.</w:t>
            </w:r>
            <w:r>
              <w:rPr>
                <w:rFonts w:cs="Calibri" w:ascii="Calibri" w:hAnsi="Calibri" w:asciiTheme="minorHAnsi" w:cstheme="minorHAnsi" w:hAnsiTheme="minorHAnsi"/>
                <w:sz w:val="22"/>
                <w:szCs w:val="22"/>
              </w:rPr>
              <w:t xml:space="preserve"> </w:t>
            </w:r>
          </w:p>
          <w:p>
            <w:pPr>
              <w:pStyle w:val="ListParagraph"/>
              <w:ind w:left="36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Nie należy specyfikować w tej pozycji: </w:t>
            </w:r>
          </w:p>
          <w:p>
            <w:pPr>
              <w:pStyle w:val="ListParagraph"/>
              <w:numPr>
                <w:ilvl w:val="0"/>
                <w:numId w:val="6"/>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kosztów oprogramowania systemowego i narzędziowego związanego z infrastrukturą teleinformatyczną, które powinno być wykazane w pozycji „Infrastruktura”, </w:t>
            </w:r>
          </w:p>
          <w:p>
            <w:pPr>
              <w:pStyle w:val="ListParagraph"/>
              <w:numPr>
                <w:ilvl w:val="0"/>
                <w:numId w:val="6"/>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kosztów zewnętrznych usług związanych z UX i tworzeniem szaty graficznej rozwiązania, które powinny być wyspecyfikowane w pozycji „Koszty UX i grafiki”, </w:t>
            </w:r>
          </w:p>
          <w:p>
            <w:pPr>
              <w:pStyle w:val="ListParagraph"/>
              <w:numPr>
                <w:ilvl w:val="0"/>
                <w:numId w:val="6"/>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kosztów niezależnych testów bezpieczeństwa i wydajności rozwiązania, które powinny być wyspecyfikowane w pozycjach „Bezpieczeństwo” i „Wydajność” (niezależnych od testów wewnętrznych przeprowadzonych w ramach prac dewoloperskich). </w:t>
            </w:r>
          </w:p>
          <w:p>
            <w:pPr>
              <w:pStyle w:val="ListParagraph"/>
              <w:numPr>
                <w:ilvl w:val="0"/>
                <w:numId w:val="22"/>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Infrastruktura</w:t>
            </w:r>
            <w:r>
              <w:rPr>
                <w:rFonts w:cs="Calibri" w:ascii="Calibri" w:hAnsi="Calibri" w:asciiTheme="minorHAnsi" w:cstheme="minorHAnsi" w:hAnsiTheme="minorHAnsi"/>
                <w:sz w:val="22"/>
                <w:szCs w:val="22"/>
              </w:rPr>
              <w:t xml:space="preserve">” – należy wykazać koszty infrastruktury informatycznej, tj. całości rozwiązań sprzętowych, programowych i organizacyjnych, które są podstawą dla wdrożenia i eksploatacji zaawansowanych technologicznie i merytorycznie systemów teleinformatycznych, do których należą: </w:t>
            </w:r>
          </w:p>
          <w:p>
            <w:pPr>
              <w:pStyle w:val="Normal"/>
              <w:numPr>
                <w:ilvl w:val="1"/>
                <w:numId w:val="7"/>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koszt środków trwałych jakie zostaną zakupione w ramach przedsięwzięcia tj.: </w:t>
            </w:r>
          </w:p>
          <w:p>
            <w:pPr>
              <w:pStyle w:val="ListParagraph"/>
              <w:numPr>
                <w:ilvl w:val="0"/>
                <w:numId w:val="8"/>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szeroko pojętego sprzętu informatycznego, takiego jak</w:t>
            </w:r>
            <w:r>
              <w:rPr>
                <w:rFonts w:cs="Calibri" w:ascii="Calibri" w:hAnsi="Calibri" w:asciiTheme="minorHAnsi" w:cstheme="minorHAnsi" w:hAnsiTheme="minorHAnsi"/>
                <w:b/>
                <w:bCs/>
                <w:sz w:val="22"/>
                <w:szCs w:val="22"/>
              </w:rPr>
              <w:t>: serwery, macierze dyskowe,</w:t>
            </w:r>
            <w:r>
              <w:rPr>
                <w:rFonts w:cs="Calibri" w:ascii="Calibri" w:hAnsi="Calibri" w:asciiTheme="minorHAnsi" w:cstheme="minorHAnsi" w:hAnsiTheme="minorHAnsi"/>
                <w:sz w:val="22"/>
                <w:szCs w:val="22"/>
              </w:rPr>
              <w:t xml:space="preserve"> moduły równoważenia obciążenia (load-balancer’y), drukarki, skanery itp., </w:t>
            </w:r>
          </w:p>
          <w:p>
            <w:pPr>
              <w:pStyle w:val="ListParagraph"/>
              <w:numPr>
                <w:ilvl w:val="0"/>
                <w:numId w:val="8"/>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specjalizowanego sprzętu sieciowego takiego jak przełączniki sieciowe, rutery, zapory sieciowe (firewall’e), sondy internetowe itp.,. </w:t>
            </w:r>
          </w:p>
          <w:p>
            <w:pPr>
              <w:pStyle w:val="ListParagraph"/>
              <w:numPr>
                <w:ilvl w:val="0"/>
                <w:numId w:val="8"/>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niezbędnego wyposażenia ośrodka obliczeniowego jak szafy rakowe, krosownice itp., </w:t>
            </w:r>
          </w:p>
          <w:p>
            <w:pPr>
              <w:pStyle w:val="ListParagraph"/>
              <w:numPr>
                <w:ilvl w:val="0"/>
                <w:numId w:val="8"/>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innych środków trwałych np. sprzęt multimedialny, tablety, czytniki e-book’ów itp., </w:t>
            </w:r>
          </w:p>
          <w:p>
            <w:pPr>
              <w:pStyle w:val="Normal"/>
              <w:numPr>
                <w:ilvl w:val="1"/>
                <w:numId w:val="7"/>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koszt wartości niematerialnych i prawnych jakie składają się na oprogramowanie (wraz z licencjami) niezbędne do prawidłowego działania i zarządzania infrastruktury teleinformatycznej tj. oprogramowania systemowego i narzędziowego związanego ze sprzętem w szczególności oprogramowania wizualizacyjnego (patrz pozycja wyżej), </w:t>
            </w:r>
          </w:p>
          <w:p>
            <w:pPr>
              <w:pStyle w:val="Normal"/>
              <w:numPr>
                <w:ilvl w:val="1"/>
                <w:numId w:val="7"/>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koszt zapewnienia usługi IaaS lub PaaS, niezbędnej dla prawidłowego funkcjonowania systemu opisanego w pozycji „Oprogramowanie”, tj. jej kosztu (abonamentu) miesięcznego/rocznego wraz z dodatkowymi narzutami związanymi z zapewnieniem wsparcia, aktualizacją oprogramowania, licencjami itp.; </w:t>
            </w:r>
          </w:p>
          <w:p>
            <w:pPr>
              <w:pStyle w:val="Normal"/>
              <w:ind w:left="708"/>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 tym przypadku, niezbędne jest wskazanie w drugiej kolumnie dostawcy usługi. </w:t>
            </w:r>
          </w:p>
          <w:p>
            <w:pPr>
              <w:pStyle w:val="ListParagraph"/>
              <w:numPr>
                <w:ilvl w:val="0"/>
                <w:numId w:val="22"/>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Koszty UX i grafiki</w:t>
            </w:r>
            <w:r>
              <w:rPr>
                <w:rFonts w:cs="Calibri" w:ascii="Calibri" w:hAnsi="Calibri" w:asciiTheme="minorHAnsi" w:cstheme="minorHAnsi" w:hAnsiTheme="minorHAnsi"/>
                <w:sz w:val="22"/>
                <w:szCs w:val="22"/>
              </w:rPr>
              <w:t>” – należy wykazać koszty np.: badań użytkowników, stworzenia projektu UX i projektu graficznego, testowania systemu wśród docelowych użytkowników, wprowadzania poprawek wynikających z testów z użytkownikami.</w:t>
            </w:r>
          </w:p>
          <w:p>
            <w:pPr>
              <w:pStyle w:val="ListParagraph"/>
              <w:numPr>
                <w:ilvl w:val="0"/>
                <w:numId w:val="22"/>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Wydajność rozwiązań</w:t>
            </w:r>
            <w:r>
              <w:rPr>
                <w:rFonts w:cs="Calibri" w:ascii="Calibri" w:hAnsi="Calibri" w:asciiTheme="minorHAnsi" w:cstheme="minorHAnsi" w:hAnsiTheme="minorHAnsi"/>
                <w:sz w:val="22"/>
                <w:szCs w:val="22"/>
              </w:rPr>
              <w:t>” – należy wykazać koszty np. testów wydajnościowych, niezależnie od tego. czy test taki prowadzony jest przez zespół wewnętrzny projektu czy zewnętrzny; aspekt szczególnie istotny w przypadku projektów związanych z digitalizacją lub udostępnianiem informacji/zasobów.</w:t>
            </w:r>
          </w:p>
          <w:p>
            <w:pPr>
              <w:pStyle w:val="ListParagraph"/>
              <w:numPr>
                <w:ilvl w:val="0"/>
                <w:numId w:val="22"/>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Bezpieczeństwo</w:t>
            </w:r>
            <w:r>
              <w:rPr>
                <w:rFonts w:cs="Calibri" w:ascii="Calibri" w:hAnsi="Calibri" w:asciiTheme="minorHAnsi" w:cstheme="minorHAnsi" w:hAnsiTheme="minorHAnsi"/>
                <w:sz w:val="22"/>
                <w:szCs w:val="22"/>
              </w:rPr>
              <w:t>” – należy wykazać koszty np. audytów bezpieczeństwa, analizy statycznej kodu, testów podatności systemu, badania zgodności systemu z obowiązującymi przepisami prawa, zakupu specjalistycznej infrastruktury i oprogramowania dedykowanych wyłącznie poprawie bezpieczeństwa przetwarzanych informacji, a także testów prywatności, obejmujące m.in. analizę potrzeb i wdrożenie środków technicznych i organizacyjnych w celu skutecznej realizacji zasad ochrony danych i nadania przetwarzaniu niezbędnych zabezpieczeń (art. 25 ogólnego rozporządzenie o ochronie danych) oraz ocenę skutków dla ochrony danych (art. 35 ogólnego rozporządzenie o ochronie danych).</w:t>
            </w:r>
          </w:p>
          <w:p>
            <w:pPr>
              <w:pStyle w:val="ListParagraph"/>
              <w:numPr>
                <w:ilvl w:val="0"/>
                <w:numId w:val="22"/>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t>
            </w:r>
            <w:r>
              <w:rPr>
                <w:rFonts w:cs="Calibri" w:ascii="Calibri" w:hAnsi="Calibri" w:asciiTheme="minorHAnsi" w:cstheme="minorHAnsi" w:hAnsiTheme="minorHAnsi"/>
                <w:b/>
                <w:bCs/>
                <w:sz w:val="22"/>
                <w:szCs w:val="22"/>
              </w:rPr>
              <w:t>Koszty zarządzania i wsparcia (w tym wynagrodzenia Personelu wspomagającego)</w:t>
            </w:r>
            <w:r>
              <w:rPr>
                <w:rFonts w:cs="Calibri" w:ascii="Calibri" w:hAnsi="Calibri" w:asciiTheme="minorHAnsi" w:cstheme="minorHAnsi" w:hAnsiTheme="minorHAnsi"/>
                <w:sz w:val="22"/>
                <w:szCs w:val="22"/>
              </w:rPr>
              <w:t xml:space="preserve">” – należy wykazać koszty zarządu (w tym kierowników projektu), asystentów, doradców prawnych, finansowych oraz koszty pośrednie, zgodnie z definicją stosowaną w projektach współfinansowanych ze środków UE. </w:t>
            </w:r>
          </w:p>
          <w:p>
            <w:pPr>
              <w:pStyle w:val="Normal"/>
              <w:ind w:left="36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Wynagrodzenia pracowników merytorycznych (tj. bezpośrednio realizujące zadania związane z wytworzeniem i wdrożeniem/udostępnieniem produktów projektu), w tym zatrudnionych na podstawie usług bodyleasing, powinny być wykazane w innych pozycjach kosztowych, niż „Koszty zarządzania i wsparcia (w tym wynagrodzenia Personelu wspomagającego)”. </w:t>
            </w:r>
          </w:p>
          <w:p>
            <w:pPr>
              <w:pStyle w:val="Normal"/>
              <w:ind w:left="36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sz w:val="22"/>
                <w:szCs w:val="22"/>
              </w:rPr>
            </w:pPr>
            <w:r>
              <w:rPr>
                <w:rFonts w:cs="Calibri" w:ascii="Calibri" w:hAnsi="Calibri" w:asciiTheme="minorHAnsi" w:cstheme="minorHAnsi" w:hAnsiTheme="minorHAnsi"/>
                <w:sz w:val="22"/>
                <w:szCs w:val="22"/>
              </w:rPr>
              <w:t>W przypadku kosztów, które nie należą do żadnej z powyższych kategorii, koszty należy uwzględnić w pozycji kosztowej „Koszty zarządzania i wsparcia (w tym wynagrodzenia Personelu wspomagającego)”, przy czym w kolumnie drugiej należy wskazać wyraźnie czego dotyczą doliczone koszty niedotyczące „Kosztów zarządzania i wsparcia (w tym wynagrodzenia Personelu wspomagającego)” i w jakiej wysokości.</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Rozbito budżet na 8 słownikowych pozycji. Koszty licencji i digitalizacji przypisano do „Oprogramowania”, serwery i skanery do „Infrastruktury”, merytoryczne opisy wydzielono z kosztów zarządzania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color w:val="000000"/>
                <w:sz w:val="22"/>
                <w:szCs w:val="22"/>
              </w:rPr>
              <w:t>4.3. Koszty ogólne utrzymania wraz ze sposobem finansowania</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Koszt utrzymania trwałości projektu po 2028 r. oszacowano na 8 000 zł rocznie, pokrywane z budżetu państwa (dotacja podmiotowa)</w:t>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Należy dopilnować, aby zabezpieczone środki w wysokości 40 000 zł na okres 5 lat obejmowały nie tylko hosting, ale również cykliczne wsparcie techniczne i aktualizacje bezpieczeństwa dla warstwy systemowej (Linux/Tomcat)</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Dodatkowo koszty utrzymania w kolejnych latach są takie same – nie uwzględniono wpływu inflacji.</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Zrewidowano budżet trwałości (zwiększono do 488 441,00 zł). Wprowadzono 3% waloryzację inflacyjną oraz rozszerzono opis o koszty wsparcia technicznego dla warstwy systemowej Linux/Tomcat i zakup taśm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sz w:val="22"/>
                <w:szCs w:val="22"/>
              </w:rPr>
              <w:t>5.1. Ryzyka wpływające na realizację projektu</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Zaprezentowanie niewielkiej liczby ryzyk projektowych może wskazywać na nieprzeprowadzenie kompleksowej analizy ryzyka.</w:t>
            </w:r>
          </w:p>
          <w:p>
            <w:pPr>
              <w:pStyle w:val="Normal"/>
              <w:rPr>
                <w:rFonts w:ascii="Calibri" w:hAnsi="Calibri" w:cs="Calibri"/>
                <w:sz w:val="22"/>
                <w:szCs w:val="22"/>
              </w:rPr>
            </w:pPr>
            <w:r>
              <w:rPr>
                <w:rFonts w:cs="Calibri" w:ascii="Calibri" w:hAnsi="Calibri"/>
                <w:sz w:val="22"/>
                <w:szCs w:val="22"/>
              </w:rPr>
              <w:t>Przykładowymi ryzykami są:</w:t>
            </w:r>
          </w:p>
          <w:p>
            <w:pPr>
              <w:pStyle w:val="ListParagraph"/>
              <w:numPr>
                <w:ilvl w:val="0"/>
                <w:numId w:val="25"/>
              </w:numPr>
              <w:rPr>
                <w:rFonts w:ascii="Calibri" w:hAnsi="Calibri" w:cs="Calibri"/>
                <w:sz w:val="22"/>
                <w:szCs w:val="22"/>
              </w:rPr>
            </w:pPr>
            <w:r>
              <w:rPr>
                <w:rFonts w:cs="Calibri" w:ascii="Calibri" w:hAnsi="Calibri"/>
                <w:sz w:val="22"/>
                <w:szCs w:val="22"/>
              </w:rPr>
              <w:t>„</w:t>
            </w:r>
            <w:r>
              <w:rPr>
                <w:rFonts w:cs="Calibri" w:ascii="Calibri" w:hAnsi="Calibri"/>
                <w:sz w:val="22"/>
                <w:szCs w:val="22"/>
              </w:rPr>
              <w:t>Przekroczenie harmonogramu realizacji projektu”;</w:t>
            </w:r>
          </w:p>
          <w:p>
            <w:pPr>
              <w:pStyle w:val="ListParagraph"/>
              <w:numPr>
                <w:ilvl w:val="0"/>
                <w:numId w:val="25"/>
              </w:numPr>
              <w:rPr>
                <w:rFonts w:ascii="Calibri" w:hAnsi="Calibri" w:cs="Calibri"/>
                <w:sz w:val="22"/>
                <w:szCs w:val="22"/>
              </w:rPr>
            </w:pPr>
            <w:r>
              <w:rPr>
                <w:rFonts w:cs="Calibri" w:ascii="Calibri" w:hAnsi="Calibri"/>
                <w:sz w:val="22"/>
                <w:szCs w:val="22"/>
              </w:rPr>
              <w:t>„</w:t>
            </w:r>
            <w:r>
              <w:rPr>
                <w:rFonts w:cs="Calibri" w:ascii="Calibri" w:hAnsi="Calibri"/>
                <w:sz w:val="22"/>
                <w:szCs w:val="22"/>
              </w:rPr>
              <w:t>Niezrealizowanie zamówień publicznych i zakupów w planowanym terminie”;</w:t>
            </w:r>
          </w:p>
          <w:p>
            <w:pPr>
              <w:pStyle w:val="ListParagraph"/>
              <w:numPr>
                <w:ilvl w:val="0"/>
                <w:numId w:val="25"/>
              </w:numPr>
              <w:rPr>
                <w:rFonts w:ascii="Calibri" w:hAnsi="Calibri" w:cs="Calibri"/>
                <w:sz w:val="22"/>
                <w:szCs w:val="22"/>
              </w:rPr>
            </w:pPr>
            <w:r>
              <w:rPr>
                <w:rFonts w:cs="Calibri" w:ascii="Calibri" w:hAnsi="Calibri"/>
                <w:sz w:val="22"/>
                <w:szCs w:val="22"/>
              </w:rPr>
              <w:t>„</w:t>
            </w:r>
            <w:r>
              <w:rPr>
                <w:rFonts w:cs="Calibri" w:ascii="Calibri" w:hAnsi="Calibri"/>
                <w:sz w:val="22"/>
                <w:szCs w:val="22"/>
              </w:rPr>
              <w:t>Brak wystarczających środków na realizację projektu”;</w:t>
            </w:r>
          </w:p>
          <w:p>
            <w:pPr>
              <w:pStyle w:val="ListParagraph"/>
              <w:numPr>
                <w:ilvl w:val="0"/>
                <w:numId w:val="25"/>
              </w:numPr>
              <w:rPr>
                <w:rFonts w:ascii="Calibri" w:hAnsi="Calibri" w:cs="Calibri"/>
                <w:sz w:val="22"/>
                <w:szCs w:val="22"/>
              </w:rPr>
            </w:pPr>
            <w:r>
              <w:rPr>
                <w:rFonts w:cs="Calibri" w:ascii="Calibri" w:hAnsi="Calibri"/>
                <w:sz w:val="22"/>
                <w:szCs w:val="22"/>
              </w:rPr>
              <w:t>„</w:t>
            </w:r>
            <w:r>
              <w:rPr>
                <w:rFonts w:cs="Calibri" w:ascii="Calibri" w:hAnsi="Calibri"/>
                <w:sz w:val="22"/>
                <w:szCs w:val="22"/>
              </w:rPr>
              <w:t>Brak możliwości zatrudnienia osób o odpowiednich kompetencjach”;</w:t>
            </w:r>
          </w:p>
          <w:p>
            <w:pPr>
              <w:pStyle w:val="ListParagraph"/>
              <w:numPr>
                <w:ilvl w:val="0"/>
                <w:numId w:val="25"/>
              </w:numPr>
              <w:rPr>
                <w:rFonts w:ascii="Calibri" w:hAnsi="Calibri" w:cs="Calibri"/>
                <w:sz w:val="22"/>
                <w:szCs w:val="22"/>
              </w:rPr>
            </w:pPr>
            <w:r>
              <w:rPr>
                <w:rFonts w:cs="Calibri" w:ascii="Calibri" w:hAnsi="Calibri"/>
                <w:sz w:val="22"/>
                <w:szCs w:val="22"/>
              </w:rPr>
              <w:t>„</w:t>
            </w:r>
            <w:r>
              <w:rPr>
                <w:rFonts w:cs="Calibri" w:ascii="Calibri" w:hAnsi="Calibri"/>
                <w:sz w:val="22"/>
                <w:szCs w:val="22"/>
              </w:rPr>
              <w:t>Brak wystarczających zasobów kadrowych do realizacji projektu”;</w:t>
            </w:r>
          </w:p>
          <w:p>
            <w:pPr>
              <w:pStyle w:val="ListParagraph"/>
              <w:numPr>
                <w:ilvl w:val="0"/>
                <w:numId w:val="25"/>
              </w:numPr>
              <w:rPr>
                <w:rFonts w:ascii="Calibri" w:hAnsi="Calibri" w:cs="Calibri"/>
                <w:sz w:val="22"/>
                <w:szCs w:val="22"/>
              </w:rPr>
            </w:pPr>
            <w:r>
              <w:rPr>
                <w:rFonts w:cs="Calibri" w:ascii="Calibri" w:hAnsi="Calibri"/>
                <w:sz w:val="22"/>
                <w:szCs w:val="22"/>
              </w:rPr>
              <w:t>„</w:t>
            </w:r>
            <w:r>
              <w:rPr>
                <w:rFonts w:cs="Calibri" w:ascii="Calibri" w:hAnsi="Calibri"/>
                <w:sz w:val="22"/>
                <w:szCs w:val="22"/>
              </w:rPr>
              <w:t>Nieosiągnięcie wskaźników produktu/celu oraz celu projektu”;</w:t>
            </w:r>
          </w:p>
          <w:p>
            <w:pPr>
              <w:pStyle w:val="ListParagraph"/>
              <w:numPr>
                <w:ilvl w:val="0"/>
                <w:numId w:val="25"/>
              </w:numPr>
              <w:rPr>
                <w:rFonts w:ascii="Calibri" w:hAnsi="Calibri" w:cs="Calibri" w:asciiTheme="minorHAnsi" w:cstheme="minorHAnsi" w:hAnsiTheme="minorHAnsi"/>
                <w:sz w:val="22"/>
                <w:szCs w:val="22"/>
              </w:rPr>
            </w:pPr>
            <w:r>
              <w:rPr>
                <w:rFonts w:cs="Calibri" w:ascii="Calibri" w:hAnsi="Calibri"/>
                <w:sz w:val="22"/>
                <w:szCs w:val="22"/>
              </w:rPr>
              <w:t>„</w:t>
            </w:r>
            <w:r>
              <w:rPr>
                <w:rFonts w:cs="Calibri" w:ascii="Calibri" w:hAnsi="Calibri"/>
                <w:sz w:val="22"/>
                <w:szCs w:val="22"/>
              </w:rPr>
              <w:t>Niepełne zidentyfikowanie zależności z innymi projektami”.</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Rozbudowano bazę ryzyk w fazie realizacji do 5 pozycji. Dodano ryzyka operacyjne: przekroczenie harmonogramu, niedobór kadry merytorycznej oraz brak ofert w kluczowych postępowaniach zakupowych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color w:val="000000"/>
                <w:sz w:val="22"/>
                <w:szCs w:val="22"/>
              </w:rPr>
              <w:t>5.2. Ryzyka wpływające na utrzymanie efektów</w:t>
            </w:r>
          </w:p>
          <w:p>
            <w:pPr>
              <w:pStyle w:val="Normal"/>
              <w:jc w:val="center"/>
              <w:rPr>
                <w:rFonts w:ascii="Calibri" w:hAnsi="Calibri" w:cs="Calibri"/>
                <w:color w:val="000000"/>
                <w:sz w:val="22"/>
                <w:szCs w:val="22"/>
              </w:rPr>
            </w:pPr>
            <w:r>
              <w:rPr>
                <w:rFonts w:cs="Calibri" w:ascii="Calibri" w:hAnsi="Calibri"/>
                <w:color w:val="000000"/>
                <w:sz w:val="22"/>
                <w:szCs w:val="22"/>
              </w:rPr>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color w:val="000000"/>
                <w:sz w:val="22"/>
                <w:szCs w:val="22"/>
              </w:rPr>
            </w:pPr>
            <w:r>
              <w:rPr>
                <w:rFonts w:cs="Calibri" w:ascii="Calibri" w:hAnsi="Calibri"/>
                <w:color w:val="000000"/>
                <w:sz w:val="22"/>
                <w:szCs w:val="22"/>
              </w:rPr>
              <w:t>Zaprezentowano niewielką liczbę ryzyk związanych z utrzymaniem efektów projektu, co może wskazywać na nieprzeprowadzenie kompleksowej analizy ryzyka.</w:t>
              <w:br/>
              <w:t>Przykładowymi ryzykami są:</w:t>
            </w:r>
          </w:p>
          <w:p>
            <w:pPr>
              <w:pStyle w:val="ListParagraph"/>
              <w:numPr>
                <w:ilvl w:val="0"/>
                <w:numId w:val="24"/>
              </w:numPr>
              <w:rPr>
                <w:rFonts w:ascii="Calibri" w:hAnsi="Calibri" w:cs="Calibri"/>
                <w:color w:val="000000"/>
                <w:sz w:val="22"/>
                <w:szCs w:val="22"/>
              </w:rPr>
            </w:pPr>
            <w:r>
              <w:rPr>
                <w:rFonts w:cs="Calibri" w:ascii="Calibri" w:hAnsi="Calibri"/>
                <w:color w:val="000000"/>
                <w:sz w:val="22"/>
                <w:szCs w:val="22"/>
              </w:rPr>
              <w:t>„</w:t>
            </w:r>
            <w:r>
              <w:rPr>
                <w:rFonts w:cs="Calibri" w:ascii="Calibri" w:hAnsi="Calibri"/>
                <w:color w:val="000000"/>
                <w:sz w:val="22"/>
                <w:szCs w:val="22"/>
              </w:rPr>
              <w:t>Brak możliwości zatrudnienia osób o odpowiednich kompetencjach niezbędnych do utrzymania efektów projektu”;</w:t>
            </w:r>
          </w:p>
          <w:p>
            <w:pPr>
              <w:pStyle w:val="ListParagraph"/>
              <w:numPr>
                <w:ilvl w:val="0"/>
                <w:numId w:val="24"/>
              </w:numPr>
              <w:rPr>
                <w:rFonts w:ascii="Calibri" w:hAnsi="Calibri" w:cs="Calibri"/>
                <w:color w:val="000000"/>
                <w:sz w:val="22"/>
                <w:szCs w:val="22"/>
              </w:rPr>
            </w:pPr>
            <w:r>
              <w:rPr>
                <w:rFonts w:cs="Calibri" w:ascii="Calibri" w:hAnsi="Calibri"/>
                <w:color w:val="000000"/>
                <w:sz w:val="22"/>
                <w:szCs w:val="22"/>
              </w:rPr>
              <w:t>„</w:t>
            </w:r>
            <w:r>
              <w:rPr>
                <w:rFonts w:cs="Calibri" w:ascii="Calibri" w:hAnsi="Calibri"/>
                <w:color w:val="000000"/>
                <w:sz w:val="22"/>
                <w:szCs w:val="22"/>
              </w:rPr>
              <w:t>Brak wystarczających zasobów kadrowych do utrzymania efektów projektu”;</w:t>
            </w:r>
          </w:p>
          <w:p>
            <w:pPr>
              <w:pStyle w:val="ListParagraph"/>
              <w:numPr>
                <w:ilvl w:val="0"/>
                <w:numId w:val="24"/>
              </w:numPr>
              <w:rPr>
                <w:rFonts w:ascii="Calibri" w:hAnsi="Calibri" w:cs="Calibri"/>
                <w:color w:val="000000"/>
                <w:sz w:val="22"/>
                <w:szCs w:val="22"/>
              </w:rPr>
            </w:pPr>
            <w:r>
              <w:rPr>
                <w:rFonts w:cs="Calibri" w:ascii="Calibri" w:hAnsi="Calibri"/>
                <w:color w:val="000000"/>
                <w:sz w:val="22"/>
                <w:szCs w:val="22"/>
              </w:rPr>
              <w:t>„</w:t>
            </w:r>
            <w:r>
              <w:rPr>
                <w:rFonts w:cs="Calibri" w:ascii="Calibri" w:hAnsi="Calibri"/>
                <w:color w:val="000000"/>
                <w:sz w:val="22"/>
                <w:szCs w:val="22"/>
              </w:rPr>
              <w:t>Brak wystarczających środków na utrzymanie efektów projektu”;</w:t>
            </w:r>
          </w:p>
          <w:p>
            <w:pPr>
              <w:pStyle w:val="ListParagraph"/>
              <w:numPr>
                <w:ilvl w:val="0"/>
                <w:numId w:val="24"/>
              </w:numPr>
              <w:rPr>
                <w:rFonts w:ascii="Calibri" w:hAnsi="Calibri" w:cs="Calibri"/>
                <w:color w:val="000000"/>
                <w:sz w:val="22"/>
                <w:szCs w:val="22"/>
              </w:rPr>
            </w:pPr>
            <w:r>
              <w:rPr>
                <w:rFonts w:cs="Calibri" w:ascii="Calibri" w:hAnsi="Calibri"/>
                <w:color w:val="000000"/>
                <w:sz w:val="22"/>
                <w:szCs w:val="22"/>
              </w:rPr>
              <w:t>„</w:t>
            </w:r>
            <w:r>
              <w:rPr>
                <w:rFonts w:cs="Calibri" w:ascii="Calibri" w:hAnsi="Calibri"/>
                <w:color w:val="000000"/>
                <w:sz w:val="22"/>
                <w:szCs w:val="22"/>
              </w:rPr>
              <w:t>Nieosiągnięcie wszystkich zaplanowanych korzyści”.</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Rozszerzono analizę o ryzyka fazy trwałości: brak dostępności kadry z kompetencjami IT do utrzymania systemów Linux/Tomcat, niedoszacowanie kosztów licencji oraz nieosiągnięcie korzyści społecznych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color w:val="000000"/>
                <w:sz w:val="22"/>
                <w:szCs w:val="22"/>
              </w:rPr>
              <w:t>6. Otoczenie prawne</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color w:val="000000"/>
                <w:sz w:val="22"/>
                <w:szCs w:val="22"/>
              </w:rPr>
            </w:pPr>
            <w:r>
              <w:rPr>
                <w:rFonts w:cs="Calibri" w:ascii="Calibri" w:hAnsi="Calibri"/>
                <w:color w:val="000000"/>
                <w:sz w:val="22"/>
                <w:szCs w:val="22"/>
              </w:rPr>
              <w:t xml:space="preserve">Należy wymienić także akty prawne z zakresu informatyzacji, którym podlega realizowany projekt, np.: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ustawę o informatyzacji działalności podmiotów realizujących zadania publiczne,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rozporządzenie Rady Ministrów w sprawie Krajowych Ram Interoperacyjności, minimalnych wymagań dla rejestrów publicznych i wymiany informacji w postaci elektronicznej oraz minimalnych wymagań dla systemów teleinformatycznych,</w:t>
            </w:r>
            <w:r>
              <w:rPr>
                <w:rFonts w:cs="Calibri" w:ascii="Calibri" w:hAnsi="Calibri"/>
                <w:i/>
                <w:iCs/>
                <w:color w:val="000000"/>
                <w:sz w:val="22"/>
                <w:szCs w:val="22"/>
              </w:rPr>
              <w:t xml:space="preserve">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ustawę o krajowym systemie cyberbezpieczeństwa,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ustawę o ochronie baz danych,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ustawę o otwartych danych i ponownym wykorzystywaniu informacji sektora publicznego,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ustawę o dostępności cyfrowej stron internetowych i aplikacji mobilnych podmiotów publicznych,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ustawę o wspieraniu rozwoju usług i sieci telekomunikacyjnych,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ustawę o doręczeniach elektronicznych,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ustawę o usługach zaufania oraz identyfikacji elektronicznej,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rozporządzenia Parlamentu Europejskiego i Rady (UE) 2022/868 z dnia 30 maja 2022 r. w sprawie europejskiego zarządzania danymi (Akt w sprawie zarządzania danymi)</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rozporządzenia Parlamentu Europejskiego i Rady (UE) 2023/2854 z dnia 13 grudnia 2023 r. w sprawie zharmonizowanych przepisów dotyczących sprawiedliwego dostępu do danych i ich wykorzystywania (Akt w sprawie danych)</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rozporządzenie Prezesa Rady Ministrów w sprawie podstawowych wymagań bezpieczeństwa teleinformatycznego,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rozporządzenie Prezesa Rady Ministrów w sprawie sporządzania pism w formie dokumentów elektronicznych, doręczania dokumentów elektronicznych oraz udostępniania formularzy, wzorów i kopii dokumentów elektronicznych,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 xml:space="preserve">rozporządzenie Ministra Cyfryzacji w sprawie profilu zaufanego i podpisu zaufanego, </w:t>
            </w:r>
          </w:p>
          <w:p>
            <w:pPr>
              <w:pStyle w:val="ListParagraph"/>
              <w:numPr>
                <w:ilvl w:val="0"/>
                <w:numId w:val="23"/>
              </w:numPr>
              <w:rPr>
                <w:rFonts w:ascii="Calibri" w:hAnsi="Calibri" w:cs="Calibri"/>
                <w:color w:val="000000"/>
                <w:sz w:val="22"/>
                <w:szCs w:val="22"/>
              </w:rPr>
            </w:pPr>
            <w:r>
              <w:rPr>
                <w:rFonts w:cs="Calibri" w:ascii="Calibri" w:hAnsi="Calibri"/>
                <w:color w:val="000000"/>
                <w:sz w:val="22"/>
                <w:szCs w:val="22"/>
              </w:rPr>
              <w:t>rozporządzenie Ministra Cyfryzacji w sprawie szczegółowych warunków organizacyjnych i technicznych, które powinien spełniać system teleinformatyczny służący do uwierzytelniania użytkowników.</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Rozbudowano katalog o wymagane akty informatyczne: Ustawę o informatyzacji, KRI (z uwzględnieniem nowelizacji), Ustawę o KSC (w kontekście NIS2), Ustawę o otwartych danych oraz Data Governance Ac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color w:val="000000"/>
                <w:sz w:val="22"/>
                <w:szCs w:val="22"/>
              </w:rPr>
              <w:t>7.1. Widok kooperacji aplikacji</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color w:val="000000"/>
                <w:sz w:val="22"/>
                <w:szCs w:val="22"/>
              </w:rPr>
            </w:pPr>
            <w:r>
              <w:rPr>
                <w:rFonts w:cs="Calibri" w:ascii="Calibri" w:hAnsi="Calibri"/>
                <w:color w:val="000000"/>
                <w:sz w:val="22"/>
                <w:szCs w:val="22"/>
              </w:rPr>
              <w:t>Brak legendy uniemożliwia zweryfikowanie zakresu projektu i prawidłowości jego zdefiniowania</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Do diagramu widoku kooperacji aplikacji w dokumentacji technicznej dodano kompletną i czytelną legendę ujednolicającą oznaczenia systemów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color w:val="000000"/>
                <w:sz w:val="22"/>
                <w:szCs w:val="22"/>
              </w:rPr>
              <w:t>7.1. Widok kooperacji aplikacji</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color w:val="000000"/>
                <w:sz w:val="22"/>
                <w:szCs w:val="22"/>
              </w:rPr>
            </w:pPr>
            <w:r>
              <w:rPr>
                <w:rFonts w:cs="Calibri" w:ascii="Calibri" w:hAnsi="Calibri"/>
                <w:color w:val="000000"/>
                <w:sz w:val="22"/>
                <w:szCs w:val="22"/>
              </w:rPr>
              <w:t>Na diagramie kooperacji powinny być pokazane systemy biznesowe (jak „System</w:t>
            </w:r>
          </w:p>
          <w:p>
            <w:pPr>
              <w:pStyle w:val="Normal"/>
              <w:rPr>
                <w:rFonts w:ascii="Calibri" w:hAnsi="Calibri" w:cs="Calibri"/>
                <w:color w:val="000000"/>
                <w:sz w:val="22"/>
                <w:szCs w:val="22"/>
              </w:rPr>
            </w:pPr>
            <w:r>
              <w:rPr>
                <w:rFonts w:cs="Calibri" w:ascii="Calibri" w:hAnsi="Calibri"/>
                <w:color w:val="000000"/>
                <w:sz w:val="22"/>
                <w:szCs w:val="22"/>
              </w:rPr>
              <w:t>Repozytorium Cyfrowego (CMS)” ), ich komponenty powinny być pokazane na diagramie komponentów w 7.2. „Kluczowe komponenty architektury rozwiązania”</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Z diagramu kooperacji usunięto elementy technologiczne i serwerowe. Prezentuje on wyłącznie systemy biznesowe, a ich komponenty szczegółowe przeniesiono na diagram komponentów w sekcji 7.2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color w:val="000000"/>
                <w:sz w:val="22"/>
                <w:szCs w:val="22"/>
              </w:rPr>
              <w:t>7.1. Widok kooperacji aplikacji</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color w:val="000000"/>
                <w:sz w:val="22"/>
                <w:szCs w:val="22"/>
              </w:rPr>
            </w:pPr>
            <w:r>
              <w:rPr>
                <w:rFonts w:cs="Calibri" w:ascii="Calibri" w:hAnsi="Calibri"/>
                <w:color w:val="000000"/>
                <w:sz w:val="22"/>
                <w:szCs w:val="22"/>
              </w:rPr>
              <w:t>„</w:t>
            </w:r>
            <w:r>
              <w:rPr>
                <w:rFonts w:cs="Calibri" w:ascii="Calibri" w:hAnsi="Calibri"/>
                <w:color w:val="000000"/>
                <w:sz w:val="22"/>
                <w:szCs w:val="22"/>
              </w:rPr>
              <w:t xml:space="preserve">Portal e-Archiwum” opisany jest jako front-end systemu „System Repozytorium Cyfrowego (CMS)” – taki opis wskazywałby, że jest on komponentem systemu (który prezentujemy na diagramie komponentów pkt 7.2) . </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Skorygowano status Portalu e-Archiwum. Został on usunięty z widoku kooperacji systemów jako front-end i wykazany prawidłowo jako integralny komponent prezentacyjny w sekcji 7.2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highlight w:val="yellow"/>
              </w:rPr>
            </w:pPr>
            <w:r>
              <w:rPr>
                <w:rFonts w:cs="Calibri" w:ascii="Calibri" w:hAnsi="Calibri"/>
                <w:color w:val="000000"/>
                <w:sz w:val="22"/>
                <w:szCs w:val="22"/>
              </w:rPr>
              <w:t>7.1. Widok kooperacji aplikacji</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highlight w:val="yellow"/>
              </w:rPr>
            </w:pPr>
            <w:r>
              <w:rPr>
                <w:rFonts w:cs="Calibri" w:ascii="Calibri" w:hAnsi="Calibri"/>
                <w:color w:val="000000"/>
                <w:sz w:val="22"/>
                <w:szCs w:val="22"/>
              </w:rPr>
              <w:t>System będzie wymagał prawdopodobnie logowania od użytkowników niebędących pracownikami gestora/właściciela systemu.  Jeśli tak, proszę o wyjaśnienie dlaczego nie zostanie wykorzystany Węzeł Krajowy lub Transgraniczny lub uwzględnienie integracji z tym rozwiązaniem.</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highlight w:val="yellow"/>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Dodano wyjaśnienie merytoryczne: system i e-usługi mają charakter otwarty (Open Data) i nie wymagają autoryzacji tożsamości użytkowników zewnętrznych, co wyklucza potrzebę integracji z Węzłem Krajowym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color w:val="000000"/>
                <w:sz w:val="22"/>
                <w:szCs w:val="22"/>
              </w:rPr>
              <w:t>7.1. Widok kooperacji aplikacji</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Nie wykazano żadnych integracji z systemami zewnętrznymi podczas, gdy jest o nich mowa w innej części dokumentu, np. FBC</w:t>
            </w:r>
          </w:p>
          <w:p>
            <w:pPr>
              <w:pStyle w:val="Normal"/>
              <w:rPr>
                <w:rFonts w:ascii="Calibri" w:hAnsi="Calibri" w:cs="Calibri"/>
                <w:color w:val="000000"/>
                <w:sz w:val="22"/>
                <w:szCs w:val="22"/>
              </w:rPr>
            </w:pPr>
            <w:r>
              <w:rPr>
                <w:rFonts w:cs="Calibri" w:ascii="Calibri" w:hAnsi="Calibri"/>
                <w:color w:val="000000"/>
                <w:sz w:val="22"/>
                <w:szCs w:val="22"/>
              </w:rPr>
              <w:t xml:space="preserve">Na diagramie kooperacji powinny być pokazane wszystkie systemy, z którymi planowane/modyfikowane systemy wymieniają dane. </w:t>
            </w:r>
          </w:p>
          <w:p>
            <w:pPr>
              <w:pStyle w:val="Normal"/>
              <w:rPr>
                <w:rFonts w:ascii="Calibri" w:hAnsi="Calibri" w:cs="Calibri"/>
                <w:color w:val="000000"/>
                <w:sz w:val="22"/>
                <w:szCs w:val="22"/>
              </w:rPr>
            </w:pPr>
            <w:r>
              <w:rPr>
                <w:rFonts w:cs="Calibri" w:ascii="Calibri" w:hAnsi="Calibri"/>
                <w:color w:val="000000"/>
                <w:sz w:val="22"/>
                <w:szCs w:val="22"/>
              </w:rPr>
              <w:t>Czy systemy udostępniają dane do „Kronik@”, „Federacja Bibliotek</w:t>
            </w:r>
          </w:p>
          <w:p>
            <w:pPr>
              <w:pStyle w:val="Normal"/>
              <w:rPr>
                <w:rFonts w:ascii="Calibri" w:hAnsi="Calibri" w:cs="Calibri"/>
                <w:color w:val="000000"/>
                <w:sz w:val="22"/>
                <w:szCs w:val="22"/>
              </w:rPr>
            </w:pPr>
            <w:r>
              <w:rPr>
                <w:rFonts w:cs="Calibri" w:ascii="Calibri" w:hAnsi="Calibri"/>
                <w:color w:val="000000"/>
                <w:sz w:val="22"/>
                <w:szCs w:val="22"/>
              </w:rPr>
              <w:t>Cyfrowych” czy „Europeana” (wymienione w rozdz. 2.2 oraz 7.1) ?. Jeśli tak to proszę o uzupełnienie tabeli „Lista przepływów” o przepływy pomiędzy ww. systemami.</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Na diagramie kooperacji odwzorowano integracje z KRONIK@ oraz FBC. Tabelę „Lista przepływów” uzupełniono o rekordy dotyczące periodycznego pobierania danych (harvestingu) przez te systemy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color w:val="000000"/>
                <w:sz w:val="22"/>
                <w:szCs w:val="22"/>
              </w:rPr>
              <w:t>7.1. Widok kooperacji aplikacji</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 Liście systemów wykazuje się </w:t>
            </w:r>
            <w:r>
              <w:rPr>
                <w:rFonts w:cs="Calibri" w:ascii="Calibri" w:hAnsi="Calibri" w:asciiTheme="minorHAnsi" w:cstheme="minorHAnsi" w:hAnsiTheme="minorHAnsi"/>
                <w:b/>
                <w:bCs/>
                <w:sz w:val="22"/>
                <w:szCs w:val="22"/>
              </w:rPr>
              <w:t>wszystkie</w:t>
            </w:r>
            <w:r>
              <w:rPr>
                <w:rFonts w:cs="Calibri" w:ascii="Calibri" w:hAnsi="Calibri" w:asciiTheme="minorHAnsi" w:cstheme="minorHAnsi" w:hAnsiTheme="minorHAnsi"/>
                <w:sz w:val="22"/>
                <w:szCs w:val="22"/>
              </w:rPr>
              <w:t xml:space="preserve"> systemy teleinformatyczne z diagramu kooperacji aplikacji odrębnie, z: </w:t>
            </w:r>
          </w:p>
          <w:p>
            <w:pPr>
              <w:pStyle w:val="Normal"/>
              <w:numPr>
                <w:ilvl w:val="0"/>
                <w:numId w:val="33"/>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uwzględnieniem systemów będących produktami projektu,</w:t>
            </w:r>
          </w:p>
          <w:p>
            <w:pPr>
              <w:pStyle w:val="Normal"/>
              <w:numPr>
                <w:ilvl w:val="0"/>
                <w:numId w:val="33"/>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pominięciem grup systemów</w:t>
            </w:r>
          </w:p>
          <w:p>
            <w:pPr>
              <w:pStyle w:val="Normal"/>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W Liście systemów w kolumnie:</w:t>
            </w:r>
          </w:p>
          <w:p>
            <w:pPr>
              <w:pStyle w:val="Normal"/>
              <w:numPr>
                <w:ilvl w:val="1"/>
                <w:numId w:val="31"/>
              </w:numPr>
              <w:ind w:hanging="360" w:left="360"/>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w:t>
            </w:r>
            <w:r>
              <w:rPr>
                <w:rFonts w:eastAsia="Calibri" w:cs="Calibri" w:ascii="Calibri" w:hAnsi="Calibri" w:asciiTheme="minorHAnsi" w:cstheme="minorHAnsi" w:hAnsiTheme="minorHAnsi"/>
                <w:sz w:val="22"/>
                <w:szCs w:val="22"/>
                <w:lang w:eastAsia="en-US"/>
              </w:rPr>
              <w:t>Nazwa systemu” należy zaprezentować skrótowiec lub ew. nazwę systemu teleinformatycznego zgodnie z wykazaną na diagramie kooperacji</w:t>
            </w:r>
          </w:p>
          <w:p>
            <w:pPr>
              <w:pStyle w:val="Normal"/>
              <w:numPr>
                <w:ilvl w:val="1"/>
                <w:numId w:val="31"/>
              </w:numPr>
              <w:ind w:hanging="360" w:left="360"/>
              <w:rPr>
                <w:rFonts w:ascii="Calibri" w:hAnsi="Calibri" w:eastAsia="Calibri" w:cs="Calibri" w:asciiTheme="minorHAnsi" w:cstheme="minorHAnsi" w:hAnsiTheme="minorHAnsi"/>
                <w:b/>
                <w:bCs/>
                <w:sz w:val="22"/>
                <w:szCs w:val="22"/>
                <w:lang w:eastAsia="en-US"/>
              </w:rPr>
            </w:pPr>
            <w:r>
              <w:rPr>
                <w:rFonts w:eastAsia="Calibri" w:cs="Calibri" w:ascii="Calibri" w:hAnsi="Calibri" w:asciiTheme="minorHAnsi" w:cstheme="minorHAnsi" w:hAnsiTheme="minorHAnsi"/>
                <w:sz w:val="22"/>
                <w:szCs w:val="22"/>
                <w:lang w:eastAsia="en-US"/>
              </w:rPr>
              <w:t>„</w:t>
            </w:r>
            <w:r>
              <w:rPr>
                <w:rFonts w:eastAsia="Calibri" w:cs="Calibri" w:ascii="Calibri" w:hAnsi="Calibri" w:asciiTheme="minorHAnsi" w:cstheme="minorHAnsi" w:hAnsiTheme="minorHAnsi"/>
                <w:sz w:val="22"/>
                <w:szCs w:val="22"/>
                <w:lang w:eastAsia="en-US"/>
              </w:rPr>
              <w:t xml:space="preserve">Gestor systemu” należy wprowadzić nawę podmiotu będącego właścicielem systemu </w:t>
            </w:r>
          </w:p>
          <w:p>
            <w:pPr>
              <w:pStyle w:val="Normal"/>
              <w:numPr>
                <w:ilvl w:val="1"/>
                <w:numId w:val="31"/>
              </w:numPr>
              <w:ind w:hanging="360" w:left="360"/>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w:t>
            </w:r>
            <w:r>
              <w:rPr>
                <w:rFonts w:eastAsia="Calibri" w:cs="Calibri" w:ascii="Calibri" w:hAnsi="Calibri" w:asciiTheme="minorHAnsi" w:cstheme="minorHAnsi" w:hAnsiTheme="minorHAnsi"/>
                <w:sz w:val="22"/>
                <w:szCs w:val="22"/>
                <w:lang w:eastAsia="en-US"/>
              </w:rPr>
              <w:t xml:space="preserve">Opis systemu” </w:t>
              <w:br/>
            </w:r>
            <w:r>
              <w:rPr>
                <w:rFonts w:eastAsia="Calibri" w:cs="Calibri" w:ascii="Calibri" w:hAnsi="Calibri" w:asciiTheme="minorHAnsi" w:cstheme="minorHAnsi" w:hAnsiTheme="minorHAnsi"/>
                <w:b/>
                <w:bCs/>
                <w:sz w:val="22"/>
                <w:szCs w:val="22"/>
                <w:lang w:eastAsia="en-US"/>
              </w:rPr>
              <w:t>Opisy systemów powinny zawierać</w:t>
            </w:r>
            <w:r>
              <w:rPr>
                <w:rFonts w:eastAsia="Calibri" w:cs="Calibri" w:ascii="Calibri" w:hAnsi="Calibri" w:asciiTheme="minorHAnsi" w:cstheme="minorHAnsi" w:hAnsiTheme="minorHAnsi"/>
                <w:sz w:val="22"/>
                <w:szCs w:val="22"/>
                <w:lang w:eastAsia="en-US"/>
              </w:rPr>
              <w:t>:</w:t>
            </w:r>
          </w:p>
          <w:p>
            <w:pPr>
              <w:pStyle w:val="Normal"/>
              <w:numPr>
                <w:ilvl w:val="1"/>
                <w:numId w:val="37"/>
              </w:numPr>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Pełną nazwę systemu (na początku pełna nazwa potem sformułowanie „to system wspierający…”)</w:t>
            </w:r>
          </w:p>
          <w:p>
            <w:pPr>
              <w:pStyle w:val="Normal"/>
              <w:numPr>
                <w:ilvl w:val="1"/>
                <w:numId w:val="37"/>
              </w:numPr>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Cel utworzenia systemu</w:t>
            </w:r>
          </w:p>
          <w:p>
            <w:pPr>
              <w:pStyle w:val="Normal"/>
              <w:numPr>
                <w:ilvl w:val="1"/>
                <w:numId w:val="37"/>
              </w:numPr>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Informacja o prowadzonych w systemie rejestrach publicznych, jeśli nie jest to zawarte w celu</w:t>
            </w:r>
          </w:p>
          <w:p>
            <w:pPr>
              <w:pStyle w:val="Normal"/>
              <w:numPr>
                <w:ilvl w:val="1"/>
                <w:numId w:val="37"/>
              </w:numPr>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Opis głównych grup funkcjonalności (może być lista modułów z krótkimi opisami)</w:t>
            </w:r>
          </w:p>
          <w:p>
            <w:pPr>
              <w:pStyle w:val="Normal"/>
              <w:numPr>
                <w:ilvl w:val="1"/>
                <w:numId w:val="37"/>
              </w:numPr>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 xml:space="preserve">Informacja o integracjach z innymi systemami krajowymi lub zagranicznymi </w:t>
            </w:r>
          </w:p>
          <w:p>
            <w:pPr>
              <w:pStyle w:val="Normal"/>
              <w:numPr>
                <w:ilvl w:val="1"/>
                <w:numId w:val="37"/>
              </w:numPr>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w przypadku grup systemów wstawiamy na początku "System wielokrotny"</w:t>
            </w:r>
          </w:p>
          <w:p>
            <w:pPr>
              <w:pStyle w:val="Normal"/>
              <w:numPr>
                <w:ilvl w:val="1"/>
                <w:numId w:val="37"/>
              </w:numPr>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Opis:</w:t>
            </w:r>
          </w:p>
          <w:p>
            <w:pPr>
              <w:pStyle w:val="ListParagraph"/>
              <w:numPr>
                <w:ilvl w:val="0"/>
                <w:numId w:val="38"/>
              </w:numPr>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powinien być sformułowany w czasie teraźniejszym, niezależnie od tego czy jest planowany, istniejący czy modyfikowany,</w:t>
            </w:r>
          </w:p>
          <w:p>
            <w:pPr>
              <w:pStyle w:val="ListParagraph"/>
              <w:numPr>
                <w:ilvl w:val="0"/>
                <w:numId w:val="38"/>
              </w:numPr>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nie powinien zawierać odniesień do jakichkolwiek projektów czy przyszłych lub zrealizowanych działań,</w:t>
            </w:r>
          </w:p>
          <w:p>
            <w:pPr>
              <w:pStyle w:val="ListParagraph"/>
              <w:numPr>
                <w:ilvl w:val="0"/>
                <w:numId w:val="38"/>
              </w:numPr>
              <w:rPr>
                <w:rFonts w:ascii="Calibri" w:hAnsi="Calibri" w:eastAsia="Calibri" w:cs="Calibri" w:asciiTheme="minorHAnsi" w:cstheme="minorHAnsi" w:hAnsiTheme="minorHAnsi"/>
                <w:b/>
                <w:bCs/>
                <w:sz w:val="22"/>
                <w:szCs w:val="22"/>
                <w:lang w:eastAsia="en-US"/>
              </w:rPr>
            </w:pPr>
            <w:r>
              <w:rPr>
                <w:rFonts w:eastAsia="Calibri" w:cs="Calibri" w:ascii="Calibri" w:hAnsi="Calibri" w:asciiTheme="minorHAnsi" w:cstheme="minorHAnsi" w:hAnsiTheme="minorHAnsi"/>
                <w:sz w:val="22"/>
                <w:szCs w:val="22"/>
                <w:lang w:eastAsia="en-US"/>
              </w:rPr>
              <w:t>nie powinien zawierać odniesień do wyjątkowości systemu.</w:t>
            </w:r>
          </w:p>
          <w:p>
            <w:pPr>
              <w:pStyle w:val="Normal"/>
              <w:numPr>
                <w:ilvl w:val="1"/>
                <w:numId w:val="31"/>
              </w:numPr>
              <w:ind w:hanging="360" w:left="360"/>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w:t>
            </w:r>
            <w:r>
              <w:rPr>
                <w:rFonts w:eastAsia="Calibri" w:cs="Calibri" w:ascii="Calibri" w:hAnsi="Calibri" w:asciiTheme="minorHAnsi" w:cstheme="minorHAnsi" w:hAnsiTheme="minorHAnsi"/>
                <w:sz w:val="22"/>
                <w:szCs w:val="22"/>
                <w:lang w:eastAsia="en-US"/>
              </w:rPr>
              <w:t xml:space="preserve">Status systemu” należy prezentować wartości zgodne z prezentowanymi na diagramie: </w:t>
            </w:r>
          </w:p>
          <w:p>
            <w:pPr>
              <w:pStyle w:val="Normal"/>
              <w:numPr>
                <w:ilvl w:val="0"/>
                <w:numId w:val="32"/>
              </w:numPr>
              <w:ind w:hanging="360" w:left="720"/>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planowane (na diagramie: planowane w projekcie, planowane w innym projekcie)</w:t>
            </w:r>
          </w:p>
          <w:p>
            <w:pPr>
              <w:pStyle w:val="Normal"/>
              <w:numPr>
                <w:ilvl w:val="0"/>
                <w:numId w:val="32"/>
              </w:numPr>
              <w:ind w:hanging="360" w:left="720"/>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modyfikowane (na diagramie: modyfikowane w projekcie, modyfikowane w innym projekcie)</w:t>
            </w:r>
          </w:p>
          <w:p>
            <w:pPr>
              <w:pStyle w:val="Normal"/>
              <w:numPr>
                <w:ilvl w:val="0"/>
                <w:numId w:val="32"/>
              </w:numPr>
              <w:ind w:hanging="360" w:left="720"/>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istniejące (na diagramie: istniejące)</w:t>
            </w:r>
          </w:p>
          <w:p>
            <w:pPr>
              <w:pStyle w:val="Normal"/>
              <w:numPr>
                <w:ilvl w:val="1"/>
                <w:numId w:val="31"/>
              </w:numPr>
              <w:ind w:hanging="360" w:left="360"/>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w:t>
            </w:r>
            <w:r>
              <w:rPr>
                <w:rFonts w:eastAsia="Calibri" w:cs="Calibri" w:ascii="Calibri" w:hAnsi="Calibri" w:asciiTheme="minorHAnsi" w:cstheme="minorHAnsi" w:hAnsiTheme="minorHAnsi"/>
                <w:sz w:val="22"/>
                <w:szCs w:val="22"/>
                <w:lang w:eastAsia="en-US"/>
              </w:rPr>
              <w:t xml:space="preserve">Krótki opis ewentualnej zmiany” należy: </w:t>
            </w:r>
          </w:p>
          <w:p>
            <w:pPr>
              <w:pStyle w:val="Normal"/>
              <w:numPr>
                <w:ilvl w:val="2"/>
                <w:numId w:val="30"/>
              </w:numPr>
              <w:ind w:hanging="284" w:left="698"/>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wypełnić pole tylko dla systemów „modyfikowanych” w projekcie</w:t>
            </w:r>
          </w:p>
          <w:p>
            <w:pPr>
              <w:pStyle w:val="Normal"/>
              <w:numPr>
                <w:ilvl w:val="2"/>
                <w:numId w:val="30"/>
              </w:numPr>
              <w:ind w:hanging="284" w:left="698"/>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wskazać nazwy modułów budowanych i włączanych do modyfikowanego systemu budowanego/modyfikowanego modułu, o których mowa w pkt 1.1 i w pkt 2.4, jako uzupełnienie nazwy głównego produktu</w:t>
            </w:r>
          </w:p>
          <w:p>
            <w:pPr>
              <w:pStyle w:val="Normal"/>
              <w:numPr>
                <w:ilvl w:val="2"/>
                <w:numId w:val="30"/>
              </w:numPr>
              <w:ind w:hanging="284" w:left="698"/>
              <w:rPr>
                <w:rFonts w:ascii="Calibri" w:hAnsi="Calibri" w:eastAsia="Calibri" w:cs="Calibri" w:asciiTheme="minorHAnsi" w:cstheme="minorHAnsi" w:hAnsiTheme="minorHAnsi"/>
                <w:sz w:val="22"/>
                <w:szCs w:val="22"/>
                <w:lang w:eastAsia="en-US"/>
              </w:rPr>
            </w:pPr>
            <w:r>
              <w:rPr>
                <w:rFonts w:eastAsia="Calibri" w:cs="Calibri" w:ascii="Calibri" w:hAnsi="Calibri" w:asciiTheme="minorHAnsi" w:cstheme="minorHAnsi" w:hAnsiTheme="minorHAnsi"/>
                <w:sz w:val="22"/>
                <w:szCs w:val="22"/>
                <w:lang w:eastAsia="en-US"/>
              </w:rPr>
              <w:t>opisać budowane/modyfikowane w projekcie funkcjonalności/podmoduły tych modułów</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t>
            </w:r>
            <w:r>
              <w:rPr>
                <w:rStyle w:val="Strong"/>
                <w:rFonts w:cs="Calibri" w:cstheme="minorHAnsi" w:ascii="Google Sans;Arial;sans-serif" w:hAnsi="Google Sans;Arial;sans-serif"/>
                <w:b/>
                <w:strike w:val="false"/>
                <w:dstrike w:val="false"/>
                <w:sz w:val="21"/>
                <w:szCs w:val="22"/>
                <w:u w:val="none"/>
                <w:effect w:val="none"/>
              </w:rPr>
              <w:t>względniono.</w:t>
            </w:r>
            <w:r>
              <w:rPr>
                <w:rFonts w:cs="Calibri" w:cstheme="minorHAnsi" w:ascii="Calibri" w:hAnsi="Calibri"/>
                <w:sz w:val="22"/>
                <w:szCs w:val="22"/>
              </w:rPr>
              <w:t xml:space="preserve"> Zaktualizowano „Listę systemów” – wydzielono systemy będące produktami, opisy sformułowano w czasie teraźniejszym, dodano informacje o modułach, braku rejestrów publicznych oraz usunięto opisy wyjątkowości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color w:val="000000"/>
                <w:sz w:val="22"/>
                <w:szCs w:val="22"/>
              </w:rPr>
              <w:t>7.1. Widok kooperacji aplikacji</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Na liście przepływów umieszczamy tylko przepływy miedzy systemami (GUI systemu nie jest traktowane jako systemem). </w:t>
              <w:br/>
              <w:t>Lista przepływów:</w:t>
            </w:r>
          </w:p>
          <w:p>
            <w:pPr>
              <w:pStyle w:val="ListParagraph"/>
              <w:numPr>
                <w:ilvl w:val="0"/>
                <w:numId w:val="39"/>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Wykazuje się wszystkie przepływy prezentowane na diagramie kooperacji aplikacji. </w:t>
            </w:r>
          </w:p>
          <w:p>
            <w:pPr>
              <w:pStyle w:val="ListParagraph"/>
              <w:numPr>
                <w:ilvl w:val="0"/>
                <w:numId w:val="39"/>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Liczba pozycji na liście przepływów powinna być równa liczbie przepływów danych na diagramie kooperacji. </w:t>
            </w:r>
          </w:p>
          <w:p>
            <w:pPr>
              <w:pStyle w:val="ListParagraph"/>
              <w:numPr>
                <w:ilvl w:val="0"/>
                <w:numId w:val="39"/>
              </w:numP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Przekazywanie danych w obie strony między systemami teleinformatycznymi to dwa odrębne przepływy, które są prezentowane na liście przepływów w dwóch odrębnych wierszach.</w:t>
            </w:r>
            <w:r>
              <w:rPr>
                <w:rFonts w:cs="Calibri" w:ascii="Calibri" w:hAnsi="Calibri" w:asciiTheme="minorHAnsi" w:cstheme="minorHAnsi" w:hAnsiTheme="minorHAnsi"/>
                <w:i/>
                <w:iCs/>
                <w:sz w:val="22"/>
                <w:szCs w:val="22"/>
              </w:rPr>
              <w:t xml:space="preserve"> </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Oczyszczono listę przepływów z interfejsów GUI. Liczba pozycji jest tożsama z liniami na diagramie. Dwukierunkową wymianę danych rozbito na dwa osobne wiersze (zapytanie/odpowiedź)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color w:val="000000"/>
                <w:sz w:val="22"/>
                <w:szCs w:val="22"/>
              </w:rPr>
              <w:t>7.2. Kluczowe komponenty architektury rozwiązania</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color w:val="000000"/>
                <w:sz w:val="22"/>
                <w:szCs w:val="22"/>
              </w:rPr>
            </w:pPr>
            <w:r>
              <w:rPr>
                <w:rFonts w:cs="Calibri" w:ascii="Calibri" w:hAnsi="Calibri"/>
                <w:color w:val="000000"/>
                <w:sz w:val="22"/>
                <w:szCs w:val="22"/>
              </w:rPr>
              <w:t>Brak diagramu komponentów</w:t>
            </w:r>
          </w:p>
          <w:p>
            <w:pPr>
              <w:pStyle w:val="Normal"/>
              <w:rPr>
                <w:rFonts w:ascii="Calibri" w:hAnsi="Calibri" w:cs="Calibri"/>
                <w:color w:val="000000"/>
                <w:sz w:val="22"/>
                <w:szCs w:val="22"/>
              </w:rPr>
            </w:pPr>
            <w:r>
              <w:rPr>
                <w:rFonts w:cs="Calibri" w:ascii="Calibri" w:hAnsi="Calibri"/>
                <w:color w:val="000000"/>
                <w:sz w:val="22"/>
                <w:szCs w:val="22"/>
              </w:rPr>
            </w:r>
          </w:p>
          <w:p>
            <w:pPr>
              <w:pStyle w:val="Normal"/>
              <w:rPr>
                <w:rFonts w:ascii="Calibri" w:hAnsi="Calibri" w:cs="Calibri"/>
                <w:color w:val="000000"/>
                <w:sz w:val="22"/>
                <w:szCs w:val="22"/>
              </w:rPr>
            </w:pPr>
            <w:r>
              <w:rPr>
                <w:rFonts w:cs="Calibri" w:ascii="Calibri" w:hAnsi="Calibri"/>
                <w:color w:val="000000"/>
                <w:sz w:val="22"/>
                <w:szCs w:val="22"/>
              </w:rPr>
              <w:t>Diagram komponentów powinien pokazywać przede wszystkim komponenty funkcjonalne planowanych lub modyfikowanych systemów (ponieważ nie ma legendy w pkt 7.1 nie ma możliwości zweryfikowania, które systemy lub ich modyfikacje są produktem projektu)</w:t>
            </w:r>
          </w:p>
          <w:p>
            <w:pPr>
              <w:pStyle w:val="Normal"/>
              <w:rPr>
                <w:rFonts w:ascii="Calibri" w:hAnsi="Calibri" w:cs="Calibri"/>
                <w:color w:val="000000"/>
                <w:sz w:val="22"/>
                <w:szCs w:val="22"/>
              </w:rPr>
            </w:pPr>
            <w:r>
              <w:rPr>
                <w:rFonts w:cs="Calibri" w:ascii="Calibri" w:hAnsi="Calibri"/>
                <w:color w:val="000000"/>
                <w:sz w:val="22"/>
                <w:szCs w:val="22"/>
              </w:rPr>
            </w:r>
          </w:p>
          <w:p>
            <w:pPr>
              <w:pStyle w:val="Normal"/>
              <w:rPr>
                <w:rFonts w:ascii="Calibri" w:hAnsi="Calibri" w:cs="Calibri"/>
                <w:color w:val="000000"/>
                <w:sz w:val="22"/>
                <w:szCs w:val="22"/>
              </w:rPr>
            </w:pPr>
            <w:r>
              <w:rPr>
                <w:rFonts w:cs="Calibri" w:ascii="Calibri" w:hAnsi="Calibri"/>
                <w:color w:val="000000"/>
                <w:sz w:val="22"/>
                <w:szCs w:val="22"/>
              </w:rPr>
              <w:t xml:space="preserve">Diagram komponentów prezentuje komponenty biznesowe wszystkich systemów teleinformatycznych będących produktami projektu. </w:t>
            </w:r>
          </w:p>
          <w:p>
            <w:pPr>
              <w:pStyle w:val="Normal"/>
              <w:rPr>
                <w:rFonts w:ascii="Calibri" w:hAnsi="Calibri" w:cs="Calibri"/>
                <w:color w:val="000000"/>
                <w:sz w:val="22"/>
                <w:szCs w:val="22"/>
              </w:rPr>
            </w:pPr>
            <w:r>
              <w:rPr>
                <w:rFonts w:cs="Calibri" w:ascii="Calibri" w:hAnsi="Calibri"/>
                <w:color w:val="000000"/>
                <w:sz w:val="22"/>
                <w:szCs w:val="22"/>
              </w:rPr>
            </w:r>
          </w:p>
          <w:p>
            <w:pPr>
              <w:pStyle w:val="Normal"/>
              <w:rPr>
                <w:rFonts w:ascii="Calibri" w:hAnsi="Calibri" w:cs="Calibri"/>
                <w:color w:val="000000"/>
                <w:sz w:val="22"/>
                <w:szCs w:val="22"/>
              </w:rPr>
            </w:pPr>
            <w:r>
              <w:rPr>
                <w:rFonts w:cs="Calibri" w:ascii="Calibri" w:hAnsi="Calibri"/>
                <w:color w:val="000000"/>
                <w:sz w:val="22"/>
                <w:szCs w:val="22"/>
              </w:rPr>
              <w:t>Diagram komponentów prezentuje wszystkie komponenty systemów teleinformatycznych niezależnie od ich statusu.</w:t>
            </w:r>
            <w:r>
              <w:rPr>
                <w:rFonts w:cs="Calibri" w:ascii="Calibri" w:hAnsi="Calibri"/>
                <w:i/>
                <w:iCs/>
                <w:color w:val="000000"/>
                <w:sz w:val="22"/>
                <w:szCs w:val="22"/>
              </w:rPr>
              <w:t xml:space="preserve"> </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Do sekcji 7.2 dodano brakujący, pełny diagram komponentów, prezentujący komponenty funkcjonalne i biznesowe wszystkich wdrażanych systemów IT niezależnie od ich statusu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sz w:val="22"/>
                <w:szCs w:val="22"/>
              </w:rPr>
            </w:pPr>
            <w:r>
              <w:rPr>
                <w:rFonts w:cs="Calibri" w:ascii="Calibri" w:hAnsi="Calibri"/>
                <w:color w:val="000000"/>
                <w:sz w:val="22"/>
                <w:szCs w:val="22"/>
              </w:rPr>
              <w:t>7.2. Kluczowe komponenty architektury rozwiązania</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sz w:val="22"/>
                <w:szCs w:val="22"/>
              </w:rPr>
            </w:pPr>
            <w:r>
              <w:rPr>
                <w:rFonts w:cs="Calibri" w:ascii="Calibri" w:hAnsi="Calibri"/>
                <w:sz w:val="22"/>
                <w:szCs w:val="22"/>
              </w:rPr>
              <w:t>Zidentyfikowano ryzyko wystąpienia „dzieł osieroconych”. Projekt przewiduje zatrudnienie teatrologa do audytu prawnego i pozyskiwania licencji Creative Commons</w:t>
            </w:r>
          </w:p>
          <w:p>
            <w:pPr>
              <w:pStyle w:val="Normal"/>
              <w:rPr>
                <w:rFonts w:ascii="Calibri" w:hAnsi="Calibri" w:cs="Calibri"/>
                <w:sz w:val="22"/>
                <w:szCs w:val="22"/>
              </w:rPr>
            </w:pPr>
            <w:r>
              <w:rPr>
                <w:rFonts w:cs="Calibri" w:ascii="Calibri" w:hAnsi="Calibri"/>
                <w:sz w:val="22"/>
                <w:szCs w:val="22"/>
              </w:rPr>
            </w:r>
          </w:p>
          <w:p>
            <w:pPr>
              <w:pStyle w:val="Normal"/>
              <w:rPr>
                <w:rFonts w:ascii="Calibri" w:hAnsi="Calibri" w:cs="Calibri"/>
                <w:sz w:val="22"/>
                <w:szCs w:val="22"/>
              </w:rPr>
            </w:pPr>
            <w:r>
              <w:rPr>
                <w:rFonts w:cs="Calibri" w:ascii="Calibri" w:hAnsi="Calibri"/>
                <w:sz w:val="22"/>
                <w:szCs w:val="22"/>
              </w:rPr>
              <w:t>System CMS musi posiadać funkcjonalność automatycznego generowania i prezentacji metadanych prawnych oraz oświadczeń o statusie prawnym obiektu, co jest kluczowe dla legalnego ponownego wykorzystania (re-use) zasobów</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analizę i korektę opisu założeń</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W opisie architektury CMS uwzględniono funkcjonalność automatycznego generowania i prezentacji metadanych prawnych oraz oświadczeń o statusie (licencje CC/utwory osierocone) dla celów re-use </w:t>
            </w:r>
          </w:p>
        </w:tc>
      </w:tr>
      <w:tr>
        <w:trPr/>
        <w:tc>
          <w:tcPr>
            <w:tcW w:w="561" w:type="dxa"/>
            <w:tcBorders>
              <w:top w:val="single" w:sz="4" w:space="0" w:color="000000"/>
              <w:left w:val="single" w:sz="4" w:space="0" w:color="000000"/>
              <w:bottom w:val="single" w:sz="4" w:space="0" w:color="000000"/>
              <w:right w:val="single" w:sz="4" w:space="0" w:color="000000"/>
            </w:tcBorders>
          </w:tcPr>
          <w:p>
            <w:pPr>
              <w:pStyle w:val="ListParagraph"/>
              <w:numPr>
                <w:ilvl w:val="0"/>
                <w:numId w:val="1"/>
              </w:numPr>
              <w:spacing w:before="120" w:after="120"/>
              <w:contextualSpacing/>
              <w:jc w:val="center"/>
              <w:rPr>
                <w:rFonts w:ascii="Calibri" w:hAnsi="Calibri" w:cs="Calibri" w:asciiTheme="minorHAnsi" w:cstheme="minorHAnsi" w:hAnsiTheme="minorHAnsi"/>
                <w:b/>
                <w:sz w:val="22"/>
                <w:szCs w:val="22"/>
              </w:rPr>
            </w:pPr>
            <w:r>
              <w:rPr>
                <w:rFonts w:cs="Calibri" w:cstheme="minorHAnsi" w:ascii="Calibri" w:hAnsi="Calibri"/>
                <w:b/>
                <w:sz w:val="22"/>
                <w:szCs w:val="22"/>
              </w:rPr>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RA IT</w:t>
            </w:r>
          </w:p>
        </w:tc>
        <w:tc>
          <w:tcPr>
            <w:tcW w:w="21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color w:val="000000"/>
                <w:sz w:val="22"/>
                <w:szCs w:val="22"/>
              </w:rPr>
            </w:pPr>
            <w:r>
              <w:rPr>
                <w:rFonts w:cs="Calibri" w:ascii="Calibri" w:hAnsi="Calibri"/>
                <w:color w:val="000000"/>
                <w:sz w:val="22"/>
                <w:szCs w:val="22"/>
              </w:rPr>
              <w:t>7.5. Bezpieczeństwo</w:t>
            </w:r>
          </w:p>
        </w:tc>
        <w:tc>
          <w:tcPr>
            <w:tcW w:w="5645"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color w:val="000000"/>
                <w:sz w:val="22"/>
                <w:szCs w:val="22"/>
              </w:rPr>
            </w:pPr>
            <w:r>
              <w:rPr>
                <w:rFonts w:cs="Calibri" w:ascii="Calibri" w:hAnsi="Calibri"/>
                <w:color w:val="000000"/>
                <w:sz w:val="22"/>
                <w:szCs w:val="22"/>
              </w:rPr>
              <w:t>Wskazano na wdrożenie mechanizmów wykraczających poza minimalne wymogi KRI: Architektura Zero Trust, uwierzytelnianie wieloskładnikowe (MFA/2FA) oraz szyfrowanie danych w spoczynku (AES-256)</w:t>
              <w:tab/>
            </w:r>
          </w:p>
          <w:p>
            <w:pPr>
              <w:pStyle w:val="Normal"/>
              <w:rPr>
                <w:rFonts w:ascii="Calibri" w:hAnsi="Calibri" w:cs="Calibri"/>
                <w:color w:val="000000"/>
                <w:sz w:val="22"/>
                <w:szCs w:val="22"/>
              </w:rPr>
            </w:pPr>
            <w:r>
              <w:rPr>
                <w:rFonts w:cs="Calibri" w:ascii="Calibri" w:hAnsi="Calibri"/>
                <w:color w:val="000000"/>
                <w:sz w:val="22"/>
                <w:szCs w:val="22"/>
              </w:rPr>
              <w:t>Rekomenduje się, aby dostęp administracyjny do systemu CMS był ograniczony wyłącznie do sieci wewnętrznej (VPN/sieć dedykowana), co mityguje ryzyko ataków z publicznego Internetu</w:t>
            </w:r>
          </w:p>
        </w:tc>
        <w:tc>
          <w:tcPr>
            <w:tcW w:w="2093"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Proszę o wyjaśnienie</w:t>
            </w:r>
          </w:p>
        </w:tc>
        <w:tc>
          <w:tcPr>
            <w:tcW w:w="3827" w:type="dxa"/>
            <w:tcBorders>
              <w:top w:val="single" w:sz="4" w:space="0" w:color="000000"/>
              <w:left w:val="single" w:sz="4" w:space="0" w:color="000000"/>
              <w:bottom w:val="single" w:sz="4" w:space="0" w:color="000000"/>
              <w:right w:val="single" w:sz="4" w:space="0" w:color="000000"/>
            </w:tcBorders>
          </w:tcPr>
          <w:p>
            <w:pPr>
              <w:pStyle w:val="Normal"/>
              <w:jc w:val="center"/>
              <w:rPr>
                <w:rFonts w:ascii="Calibri" w:hAnsi="Calibri" w:cs="Calibri" w:asciiTheme="minorHAnsi" w:cstheme="minorHAnsi" w:hAnsiTheme="minorHAnsi"/>
                <w:sz w:val="22"/>
                <w:szCs w:val="22"/>
              </w:rPr>
            </w:pPr>
            <w:r>
              <w:rPr>
                <w:rStyle w:val="Strong"/>
                <w:rFonts w:cs="Calibri" w:cstheme="minorHAnsi" w:ascii="Google Sans;Arial;sans-serif" w:hAnsi="Google Sans;Arial;sans-serif"/>
                <w:b/>
                <w:strike w:val="false"/>
                <w:dstrike w:val="false"/>
                <w:sz w:val="21"/>
                <w:szCs w:val="22"/>
                <w:u w:val="none"/>
                <w:effect w:val="none"/>
              </w:rPr>
              <w:t>Uwzględniono.</w:t>
            </w:r>
            <w:r>
              <w:rPr>
                <w:rFonts w:cs="Calibri" w:cstheme="minorHAnsi" w:ascii="Calibri" w:hAnsi="Calibri"/>
                <w:sz w:val="22"/>
                <w:szCs w:val="22"/>
              </w:rPr>
              <w:t xml:space="preserve"> W sekcji bezpieczeństwa jednoznacznie wskazano, że dostęp do panelu administracyjnego CMS zostanie technicznie zablokowany z publicznego Internetu i ograniczony wyłącznie do bezpiecznego połączenia VPN </w:t>
            </w:r>
          </w:p>
        </w:tc>
      </w:tr>
    </w:tbl>
    <w:p>
      <w:pPr>
        <w:pStyle w:val="Normal"/>
        <w:rPr/>
      </w:pPr>
      <w:r>
        <w:rPr/>
      </w:r>
    </w:p>
    <w:sectPr>
      <w:footerReference w:type="even" r:id="rId2"/>
      <w:footerReference w:type="default" r:id="rId3"/>
      <w:footerReference w:type="first" r:id="rId4"/>
      <w:type w:val="nextPage"/>
      <w:pgSz w:orient="landscape" w:w="16838" w:h="11906"/>
      <w:pgMar w:left="720" w:right="720" w:gutter="0" w:header="0" w:top="720" w:footer="709" w:bottom="766"/>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Segoe UI">
    <w:charset w:val="ee"/>
    <w:family w:val="swiss"/>
    <w:pitch w:val="variable"/>
  </w:font>
  <w:font w:name="Liberation Mono">
    <w:altName w:val="Courier New"/>
    <w:charset w:val="ee"/>
    <w:family w:val="modern"/>
    <w:pitch w:val="fixed"/>
  </w:font>
  <w:font w:name="Liberation Sans">
    <w:altName w:val="Arial"/>
    <w:charset w:val="ee"/>
    <w:family w:val="swiss"/>
    <w:pitch w:val="variable"/>
  </w:font>
  <w:font w:name="Calibri">
    <w:charset w:val="ee"/>
    <w:family w:val="swiss"/>
    <w:pitch w:val="variable"/>
  </w:font>
  <w:font w:name="Calibri">
    <w:charset w:val="ee"/>
    <w:family w:val="roman"/>
    <w:pitch w:val="variable"/>
  </w:font>
  <w:font w:name="Google Sans">
    <w:altName w:val="Arial"/>
    <w:charset w:val="ee"/>
    <w:family w:val="auto"/>
    <w:pitch w:val="default"/>
  </w:font>
  <w:font w:name="monospace">
    <w:charset w:val="ee"/>
    <w:family w:val="auto"/>
    <w:pitch w:val="default"/>
  </w:font>
  <w:font w:name="Courier New">
    <w:charset w:val="01"/>
    <w:family w:val="modern"/>
    <w:pitch w:val="fixed"/>
  </w:font>
  <w:font w:name="Wingdings">
    <w:charset w:val="02"/>
    <w:family w:val="auto"/>
    <w:pitch w:val="variable"/>
  </w:font>
  <w:font w:name="Symbol">
    <w:charset w:val="02"/>
    <w:family w:val="auto"/>
    <w:pitch w:val="default"/>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769616900"/>
    </w:sdtPr>
    <w:sdtContent>
      <w:p>
        <w:pPr>
          <w:pStyle w:val="Footer"/>
          <w:jc w:val="right"/>
          <w:rPr/>
        </w:pPr>
        <w:r>
          <w:rPr>
            <w:rFonts w:cs="Calibri" w:ascii="Calibri" w:hAnsi="Calibri" w:asciiTheme="minorHAnsi" w:cstheme="minorHAnsi" w:hAnsiTheme="minorHAnsi"/>
            <w:sz w:val="22"/>
            <w:szCs w:val="22"/>
          </w:rPr>
          <w:t xml:space="preserve">Strona </w:t>
        </w:r>
        <w:r>
          <w:rPr>
            <w:rFonts w:cs="Calibri" w:ascii="Calibri" w:hAnsi="Calibri" w:asciiTheme="minorHAnsi" w:cstheme="minorHAnsi" w:hAnsiTheme="minorHAnsi"/>
            <w:b/>
            <w:bCs/>
            <w:sz w:val="22"/>
            <w:szCs w:val="22"/>
          </w:rPr>
          <w:fldChar w:fldCharType="begin"/>
        </w:r>
        <w:r>
          <w:rPr>
            <w:sz w:val="22"/>
            <w:b/>
            <w:szCs w:val="22"/>
            <w:bCs/>
            <w:rFonts w:cs="Calibri" w:ascii="Calibri" w:hAnsi="Calibri"/>
          </w:rPr>
          <w:instrText xml:space="preserve"> PAGE </w:instrText>
        </w:r>
        <w:r>
          <w:rPr>
            <w:sz w:val="22"/>
            <w:b/>
            <w:szCs w:val="22"/>
            <w:bCs/>
            <w:rFonts w:cs="Calibri" w:ascii="Calibri" w:hAnsi="Calibri"/>
          </w:rPr>
          <w:fldChar w:fldCharType="separate"/>
        </w:r>
        <w:r>
          <w:rPr>
            <w:sz w:val="22"/>
            <w:b/>
            <w:szCs w:val="22"/>
            <w:bCs/>
            <w:rFonts w:cs="Calibri" w:ascii="Calibri" w:hAnsi="Calibri"/>
          </w:rPr>
          <w:t>21</w:t>
        </w:r>
        <w:r>
          <w:rPr>
            <w:sz w:val="22"/>
            <w:b/>
            <w:szCs w:val="22"/>
            <w:bCs/>
            <w:rFonts w:cs="Calibri" w:ascii="Calibri" w:hAnsi="Calibri"/>
          </w:rPr>
          <w:fldChar w:fldCharType="end"/>
        </w:r>
        <w:r>
          <w:rPr>
            <w:rFonts w:cs="Calibri" w:ascii="Calibri" w:hAnsi="Calibri" w:asciiTheme="minorHAnsi" w:cstheme="minorHAnsi" w:hAnsiTheme="minorHAnsi"/>
            <w:sz w:val="22"/>
            <w:szCs w:val="22"/>
          </w:rPr>
          <w:t xml:space="preserve"> z </w:t>
        </w:r>
        <w:r>
          <w:rPr>
            <w:rFonts w:cs="Calibri" w:ascii="Calibri" w:hAnsi="Calibri" w:asciiTheme="minorHAnsi" w:cstheme="minorHAnsi" w:hAnsiTheme="minorHAnsi"/>
            <w:b/>
            <w:bCs/>
            <w:sz w:val="22"/>
            <w:szCs w:val="22"/>
          </w:rPr>
          <w:fldChar w:fldCharType="begin"/>
        </w:r>
        <w:r>
          <w:rPr>
            <w:sz w:val="22"/>
            <w:b/>
            <w:szCs w:val="22"/>
            <w:bCs/>
            <w:rFonts w:cs="Calibri" w:ascii="Calibri" w:hAnsi="Calibri"/>
          </w:rPr>
          <w:instrText xml:space="preserve"> NUMPAGES </w:instrText>
        </w:r>
        <w:r>
          <w:rPr>
            <w:sz w:val="22"/>
            <w:b/>
            <w:szCs w:val="22"/>
            <w:bCs/>
            <w:rFonts w:cs="Calibri" w:ascii="Calibri" w:hAnsi="Calibri"/>
          </w:rPr>
          <w:fldChar w:fldCharType="separate"/>
        </w:r>
        <w:r>
          <w:rPr>
            <w:sz w:val="22"/>
            <w:b/>
            <w:szCs w:val="22"/>
            <w:bCs/>
            <w:rFonts w:cs="Calibri" w:ascii="Calibri" w:hAnsi="Calibri"/>
          </w:rPr>
          <w:t>24</w:t>
        </w:r>
        <w:r>
          <w:rPr>
            <w:sz w:val="22"/>
            <w:b/>
            <w:szCs w:val="22"/>
            <w:bCs/>
            <w:rFonts w:cs="Calibri" w:ascii="Calibri" w:hAnsi="Calibri"/>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Top of Page)"/>
        <w:docPartUnique w:val="true"/>
      </w:docPartObj>
      <w:id w:val="-1769616900"/>
    </w:sdtPr>
    <w:sdtContent>
      <w:p>
        <w:pPr>
          <w:pStyle w:val="Footer"/>
          <w:jc w:val="right"/>
          <w:rPr/>
        </w:pPr>
        <w:r>
          <w:rPr>
            <w:rFonts w:cs="Calibri" w:ascii="Calibri" w:hAnsi="Calibri" w:asciiTheme="minorHAnsi" w:cstheme="minorHAnsi" w:hAnsiTheme="minorHAnsi"/>
            <w:sz w:val="22"/>
            <w:szCs w:val="22"/>
          </w:rPr>
          <w:t xml:space="preserve">Strona </w:t>
        </w:r>
        <w:r>
          <w:rPr>
            <w:rFonts w:cs="Calibri" w:ascii="Calibri" w:hAnsi="Calibri" w:asciiTheme="minorHAnsi" w:cstheme="minorHAnsi" w:hAnsiTheme="minorHAnsi"/>
            <w:b/>
            <w:bCs/>
            <w:sz w:val="22"/>
            <w:szCs w:val="22"/>
          </w:rPr>
          <w:fldChar w:fldCharType="begin"/>
        </w:r>
        <w:r>
          <w:rPr>
            <w:sz w:val="22"/>
            <w:b/>
            <w:szCs w:val="22"/>
            <w:bCs/>
            <w:rFonts w:cs="Calibri" w:ascii="Calibri" w:hAnsi="Calibri"/>
          </w:rPr>
          <w:instrText xml:space="preserve"> PAGE </w:instrText>
        </w:r>
        <w:r>
          <w:rPr>
            <w:sz w:val="22"/>
            <w:b/>
            <w:szCs w:val="22"/>
            <w:bCs/>
            <w:rFonts w:cs="Calibri" w:ascii="Calibri" w:hAnsi="Calibri"/>
          </w:rPr>
          <w:fldChar w:fldCharType="separate"/>
        </w:r>
        <w:r>
          <w:rPr>
            <w:sz w:val="22"/>
            <w:b/>
            <w:szCs w:val="22"/>
            <w:bCs/>
            <w:rFonts w:cs="Calibri" w:ascii="Calibri" w:hAnsi="Calibri"/>
          </w:rPr>
          <w:t>21</w:t>
        </w:r>
        <w:r>
          <w:rPr>
            <w:sz w:val="22"/>
            <w:b/>
            <w:szCs w:val="22"/>
            <w:bCs/>
            <w:rFonts w:cs="Calibri" w:ascii="Calibri" w:hAnsi="Calibri"/>
          </w:rPr>
          <w:fldChar w:fldCharType="end"/>
        </w:r>
        <w:r>
          <w:rPr>
            <w:rFonts w:cs="Calibri" w:ascii="Calibri" w:hAnsi="Calibri" w:asciiTheme="minorHAnsi" w:cstheme="minorHAnsi" w:hAnsiTheme="minorHAnsi"/>
            <w:sz w:val="22"/>
            <w:szCs w:val="22"/>
          </w:rPr>
          <w:t xml:space="preserve"> z </w:t>
        </w:r>
        <w:r>
          <w:rPr>
            <w:rFonts w:cs="Calibri" w:ascii="Calibri" w:hAnsi="Calibri" w:asciiTheme="minorHAnsi" w:cstheme="minorHAnsi" w:hAnsiTheme="minorHAnsi"/>
            <w:b/>
            <w:bCs/>
            <w:sz w:val="22"/>
            <w:szCs w:val="22"/>
          </w:rPr>
          <w:fldChar w:fldCharType="begin"/>
        </w:r>
        <w:r>
          <w:rPr>
            <w:sz w:val="22"/>
            <w:b/>
            <w:szCs w:val="22"/>
            <w:bCs/>
            <w:rFonts w:cs="Calibri" w:ascii="Calibri" w:hAnsi="Calibri"/>
          </w:rPr>
          <w:instrText xml:space="preserve"> NUMPAGES </w:instrText>
        </w:r>
        <w:r>
          <w:rPr>
            <w:sz w:val="22"/>
            <w:b/>
            <w:szCs w:val="22"/>
            <w:bCs/>
            <w:rFonts w:cs="Calibri" w:ascii="Calibri" w:hAnsi="Calibri"/>
          </w:rPr>
          <w:fldChar w:fldCharType="separate"/>
        </w:r>
        <w:r>
          <w:rPr>
            <w:sz w:val="22"/>
            <w:b/>
            <w:szCs w:val="22"/>
            <w:bCs/>
            <w:rFonts w:cs="Calibri" w:ascii="Calibri" w:hAnsi="Calibri"/>
          </w:rPr>
          <w:t>24</w:t>
        </w:r>
        <w:r>
          <w:rPr>
            <w:sz w:val="22"/>
            <w:b/>
            <w:szCs w:val="22"/>
            <w:bCs/>
            <w:rFonts w:cs="Calibri" w:ascii="Calibri" w:hAnsi="Calibri"/>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
      <w:lvlJc w:val="left"/>
      <w:pPr>
        <w:tabs>
          <w:tab w:val="num" w:pos="0"/>
        </w:tabs>
        <w:ind w:left="676" w:hanging="360"/>
      </w:pPr>
      <w:rPr>
        <w:rFonts w:ascii="Symbol" w:hAnsi="Symbol" w:cs="Symbol" w:hint="default"/>
      </w:rPr>
    </w:lvl>
    <w:lvl w:ilvl="1">
      <w:start w:val="1"/>
      <w:numFmt w:val="bullet"/>
      <w:lvlText w:val="o"/>
      <w:lvlJc w:val="left"/>
      <w:pPr>
        <w:tabs>
          <w:tab w:val="num" w:pos="0"/>
        </w:tabs>
        <w:ind w:left="1396" w:hanging="360"/>
      </w:pPr>
      <w:rPr>
        <w:rFonts w:ascii="Courier New" w:hAnsi="Courier New" w:cs="Courier New" w:hint="default"/>
      </w:rPr>
    </w:lvl>
    <w:lvl w:ilvl="2">
      <w:start w:val="1"/>
      <w:numFmt w:val="bullet"/>
      <w:lvlText w:val=""/>
      <w:lvlJc w:val="left"/>
      <w:pPr>
        <w:tabs>
          <w:tab w:val="num" w:pos="0"/>
        </w:tabs>
        <w:ind w:left="2116" w:hanging="360"/>
      </w:pPr>
      <w:rPr>
        <w:rFonts w:ascii="Wingdings" w:hAnsi="Wingdings" w:cs="Wingdings" w:hint="default"/>
      </w:rPr>
    </w:lvl>
    <w:lvl w:ilvl="3">
      <w:start w:val="1"/>
      <w:numFmt w:val="bullet"/>
      <w:lvlText w:val=""/>
      <w:lvlJc w:val="left"/>
      <w:pPr>
        <w:tabs>
          <w:tab w:val="num" w:pos="0"/>
        </w:tabs>
        <w:ind w:left="2836" w:hanging="360"/>
      </w:pPr>
      <w:rPr>
        <w:rFonts w:ascii="Symbol" w:hAnsi="Symbol" w:cs="Symbol" w:hint="default"/>
      </w:rPr>
    </w:lvl>
    <w:lvl w:ilvl="4">
      <w:start w:val="1"/>
      <w:numFmt w:val="bullet"/>
      <w:lvlText w:val="o"/>
      <w:lvlJc w:val="left"/>
      <w:pPr>
        <w:tabs>
          <w:tab w:val="num" w:pos="0"/>
        </w:tabs>
        <w:ind w:left="3556" w:hanging="360"/>
      </w:pPr>
      <w:rPr>
        <w:rFonts w:ascii="Courier New" w:hAnsi="Courier New" w:cs="Courier New" w:hint="default"/>
      </w:rPr>
    </w:lvl>
    <w:lvl w:ilvl="5">
      <w:start w:val="1"/>
      <w:numFmt w:val="bullet"/>
      <w:lvlText w:val=""/>
      <w:lvlJc w:val="left"/>
      <w:pPr>
        <w:tabs>
          <w:tab w:val="num" w:pos="0"/>
        </w:tabs>
        <w:ind w:left="4276" w:hanging="360"/>
      </w:pPr>
      <w:rPr>
        <w:rFonts w:ascii="Wingdings" w:hAnsi="Wingdings" w:cs="Wingdings" w:hint="default"/>
      </w:rPr>
    </w:lvl>
    <w:lvl w:ilvl="6">
      <w:start w:val="1"/>
      <w:numFmt w:val="bullet"/>
      <w:lvlText w:val=""/>
      <w:lvlJc w:val="left"/>
      <w:pPr>
        <w:tabs>
          <w:tab w:val="num" w:pos="0"/>
        </w:tabs>
        <w:ind w:left="4996" w:hanging="360"/>
      </w:pPr>
      <w:rPr>
        <w:rFonts w:ascii="Symbol" w:hAnsi="Symbol" w:cs="Symbol" w:hint="default"/>
      </w:rPr>
    </w:lvl>
    <w:lvl w:ilvl="7">
      <w:start w:val="1"/>
      <w:numFmt w:val="bullet"/>
      <w:lvlText w:val="o"/>
      <w:lvlJc w:val="left"/>
      <w:pPr>
        <w:tabs>
          <w:tab w:val="num" w:pos="0"/>
        </w:tabs>
        <w:ind w:left="5716" w:hanging="360"/>
      </w:pPr>
      <w:rPr>
        <w:rFonts w:ascii="Courier New" w:hAnsi="Courier New" w:cs="Courier New" w:hint="default"/>
      </w:rPr>
    </w:lvl>
    <w:lvl w:ilvl="8">
      <w:start w:val="1"/>
      <w:numFmt w:val="bullet"/>
      <w:lvlText w:val=""/>
      <w:lvlJc w:val="left"/>
      <w:pPr>
        <w:tabs>
          <w:tab w:val="num" w:pos="0"/>
        </w:tabs>
        <w:ind w:left="6436" w:hanging="360"/>
      </w:pPr>
      <w:rPr>
        <w:rFonts w:ascii="Wingdings" w:hAnsi="Wingdings" w:cs="Wingdings" w:hint="default"/>
      </w:rPr>
    </w:lvl>
  </w:abstractNum>
  <w:abstractNum w:abstractNumId="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0" w:hanging="0"/>
      </w:pPr>
      <w:rPr>
        <w:rFonts w:ascii="Symbol" w:hAnsi="Symbol" w:cs="Symbol" w:hint="default"/>
      </w:rPr>
    </w:lvl>
    <w:lvl w:ilvl="1">
      <w:start w:val="1"/>
      <w:numFmt w:val="bullet"/>
      <w:lvlText w:val="o"/>
      <w:lvlJc w:val="left"/>
      <w:pPr>
        <w:tabs>
          <w:tab w:val="num" w:pos="0"/>
        </w:tabs>
        <w:ind w:left="720" w:hanging="360"/>
      </w:pPr>
      <w:rPr>
        <w:rFonts w:ascii="Courier New" w:hAnsi="Courier New" w:cs="Courier New" w:hint="default"/>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8">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800" w:hanging="360"/>
      </w:pPr>
      <w:rPr>
        <w:rFonts w:ascii="Symbol" w:hAnsi="Symbol" w:cs="Symbol"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7">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9">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lvl w:ilvl="0">
      <w:start w:val="1"/>
      <w:numFmt w:val="decimal"/>
      <w:lvlText w:val="%1."/>
      <w:lvlJc w:val="left"/>
      <w:pPr>
        <w:tabs>
          <w:tab w:val="num" w:pos="0"/>
        </w:tabs>
        <w:ind w:left="360" w:hanging="360"/>
      </w:pPr>
      <w:rPr/>
    </w:lvl>
    <w:lvl w:ilvl="1">
      <w:start w:val="1"/>
      <w:numFmt w:val="bullet"/>
      <w:lvlText w:val=""/>
      <w:lvlJc w:val="left"/>
      <w:pPr>
        <w:tabs>
          <w:tab w:val="num" w:pos="0"/>
        </w:tabs>
        <w:ind w:left="1080" w:hanging="360"/>
      </w:pPr>
      <w:rPr>
        <w:rFonts w:ascii="Symbol" w:hAnsi="Symbol" w:cs="Symbol" w:hint="default"/>
      </w:rPr>
    </w:lvl>
    <w:lvl w:ilvl="2">
      <w:start w:val="1"/>
      <w:numFmt w:val="bullet"/>
      <w:lvlText w:val="o"/>
      <w:lvlJc w:val="left"/>
      <w:pPr>
        <w:tabs>
          <w:tab w:val="num" w:pos="0"/>
        </w:tabs>
        <w:ind w:left="1980" w:hanging="360"/>
      </w:pPr>
      <w:rPr>
        <w:rFonts w:ascii="Courier New" w:hAnsi="Courier New" w:cs="Courier New" w:hint="default"/>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1">
    <w:lvl w:ilvl="0">
      <w:start w:val="1"/>
      <w:numFmt w:val="decimal"/>
      <w:lvlText w:val="%1."/>
      <w:lvlJc w:val="left"/>
      <w:pPr>
        <w:tabs>
          <w:tab w:val="num" w:pos="0"/>
        </w:tabs>
        <w:ind w:left="360" w:hanging="360"/>
      </w:pPr>
      <w:rPr/>
    </w:lvl>
    <w:lvl w:ilvl="1">
      <w:start w:val="1"/>
      <w:numFmt w:val="bullet"/>
      <w:lvlText w:val=""/>
      <w:lvlJc w:val="left"/>
      <w:pPr>
        <w:tabs>
          <w:tab w:val="num" w:pos="0"/>
        </w:tabs>
        <w:ind w:left="720" w:hanging="360"/>
      </w:pPr>
      <w:rPr>
        <w:rFonts w:ascii="Symbol" w:hAnsi="Symbol" w:cs="Symbol" w:hint="default"/>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2">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
      <w:lvlJc w:val="left"/>
      <w:pPr>
        <w:tabs>
          <w:tab w:val="num" w:pos="0"/>
        </w:tabs>
        <w:ind w:left="2160" w:hanging="360"/>
      </w:pPr>
      <w:rPr>
        <w:rFonts w:ascii="Symbol" w:hAnsi="Symbol" w:cs="Symbol" w:hint="default"/>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3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4">
    <w:lvl w:ilvl="0">
      <w:start w:val="1"/>
      <w:numFmt w:val="bullet"/>
      <w:lvlText w:val=""/>
      <w:lvlJc w:val="left"/>
      <w:pPr>
        <w:tabs>
          <w:tab w:val="num" w:pos="0"/>
        </w:tabs>
        <w:ind w:left="360" w:hanging="360"/>
      </w:pPr>
      <w:rPr>
        <w:rFonts w:ascii="Symbol" w:hAnsi="Symbol" w:cs="Symbol" w:hint="default"/>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7">
    <w:lvl w:ilvl="0">
      <w:start w:val="1"/>
      <w:numFmt w:val="decimal"/>
      <w:lvlText w:val="%1."/>
      <w:lvlJc w:val="left"/>
      <w:pPr>
        <w:tabs>
          <w:tab w:val="num" w:pos="0"/>
        </w:tabs>
        <w:ind w:left="360" w:hanging="360"/>
      </w:pPr>
      <w:rPr/>
    </w:lvl>
    <w:lvl w:ilvl="1">
      <w:start w:val="1"/>
      <w:numFmt w:val="bullet"/>
      <w:lvlText w:val="o"/>
      <w:lvlJc w:val="left"/>
      <w:pPr>
        <w:tabs>
          <w:tab w:val="num" w:pos="0"/>
        </w:tabs>
        <w:ind w:left="720" w:hanging="360"/>
      </w:pPr>
      <w:rPr>
        <w:rFonts w:ascii="Courier New" w:hAnsi="Courier New" w:cs="Courier New" w:hint="default"/>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8">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9">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13"/>
    <w:lvlOverride w:ilvl="0">
      <w:startOverride w:val="1"/>
    </w:lvlOverride>
  </w:num>
  <w:num w:numId="44">
    <w:abstractNumId w:val="2"/>
    <w:lvlOverride w:ilvl="0">
      <w:startOverride w:val="1"/>
    </w:lvlOverride>
  </w:num>
  <w:num w:numId="45">
    <w:abstractNumId w:val="4"/>
    <w:lvlOverride w:ilvl="0">
      <w:startOverride w:val="1"/>
    </w:lvlOverride>
  </w:num>
</w:numbering>
</file>

<file path=word/settings.xml><?xml version="1.0" encoding="utf-8"?>
<w:settings xmlns:w="http://schemas.openxmlformats.org/wordprocessingml/2006/main">
  <w:zoom w:percent="90"/>
  <w:embedSystemFont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f5010"/>
    <w:pPr>
      <w:widowControl/>
      <w:bidi w:val="0"/>
      <w:spacing w:before="0" w:after="0"/>
      <w:jc w:val="left"/>
    </w:pPr>
    <w:rPr>
      <w:rFonts w:ascii="Times New Roman" w:hAnsi="Times New Roman" w:eastAsia="Times New Roman" w:cs="Times New Roman"/>
      <w:color w:val="auto"/>
      <w:kern w:val="0"/>
      <w:sz w:val="24"/>
      <w:szCs w:val="24"/>
      <w:lang w:val="pl-PL" w:eastAsia="pl-PL" w:bidi="ar-SA"/>
    </w:rPr>
  </w:style>
  <w:style w:type="character" w:styleId="DefaultParagraphFont" w:default="1">
    <w:name w:val="Default Paragraph Font"/>
    <w:uiPriority w:val="1"/>
    <w:semiHidden/>
    <w:unhideWhenUsed/>
    <w:qFormat/>
    <w:rPr/>
  </w:style>
  <w:style w:type="character" w:styleId="TekstdymkaZnak" w:customStyle="1">
    <w:name w:val="Tekst dymka Znak"/>
    <w:basedOn w:val="DefaultParagraphFont"/>
    <w:link w:val="BalloonText"/>
    <w:qFormat/>
    <w:rsid w:val="00a06425"/>
    <w:rPr>
      <w:rFonts w:ascii="Segoe UI" w:hAnsi="Segoe UI" w:cs="Segoe UI"/>
      <w:sz w:val="18"/>
      <w:szCs w:val="18"/>
    </w:rPr>
  </w:style>
  <w:style w:type="character" w:styleId="CommentReference">
    <w:name w:val="annotation reference"/>
    <w:basedOn w:val="DefaultParagraphFont"/>
    <w:uiPriority w:val="99"/>
    <w:qFormat/>
    <w:rsid w:val="003e5caf"/>
    <w:rPr>
      <w:sz w:val="16"/>
      <w:szCs w:val="16"/>
    </w:rPr>
  </w:style>
  <w:style w:type="character" w:styleId="TekstkomentarzaZnak" w:customStyle="1">
    <w:name w:val="Tekst komentarza Znak"/>
    <w:basedOn w:val="DefaultParagraphFont"/>
    <w:link w:val="CommentText"/>
    <w:qFormat/>
    <w:rsid w:val="003e5caf"/>
    <w:rPr/>
  </w:style>
  <w:style w:type="character" w:styleId="TematkomentarzaZnak" w:customStyle="1">
    <w:name w:val="Temat komentarza Znak"/>
    <w:basedOn w:val="TekstkomentarzaZnak"/>
    <w:link w:val="annotationsubject"/>
    <w:qFormat/>
    <w:rsid w:val="003e5caf"/>
    <w:rPr>
      <w:b/>
      <w:bCs/>
    </w:rPr>
  </w:style>
  <w:style w:type="character" w:styleId="NagwekZnak" w:customStyle="1">
    <w:name w:val="Nagłówek Znak"/>
    <w:basedOn w:val="DefaultParagraphFont"/>
    <w:qFormat/>
    <w:rsid w:val="00886af0"/>
    <w:rPr>
      <w:sz w:val="24"/>
      <w:szCs w:val="24"/>
    </w:rPr>
  </w:style>
  <w:style w:type="character" w:styleId="StopkaZnak" w:customStyle="1">
    <w:name w:val="Stopka Znak"/>
    <w:basedOn w:val="DefaultParagraphFont"/>
    <w:uiPriority w:val="99"/>
    <w:qFormat/>
    <w:rsid w:val="00886af0"/>
    <w:rPr>
      <w:sz w:val="24"/>
      <w:szCs w:val="24"/>
    </w:rPr>
  </w:style>
  <w:style w:type="character" w:styleId="Hyperlink">
    <w:name w:val="Hyperlink"/>
    <w:basedOn w:val="DefaultParagraphFont"/>
    <w:rsid w:val="00115b41"/>
    <w:rPr>
      <w:color w:themeColor="hyperlink" w:val="0563C1"/>
      <w:u w:val="single"/>
    </w:rPr>
  </w:style>
  <w:style w:type="character" w:styleId="AkapitzlistZnak" w:customStyle="1">
    <w:name w:val="Akapit z listą Znak"/>
    <w:link w:val="ListParagraph"/>
    <w:uiPriority w:val="34"/>
    <w:qFormat/>
    <w:locked/>
    <w:rsid w:val="000c201f"/>
    <w:rPr>
      <w:sz w:val="24"/>
      <w:szCs w:val="24"/>
    </w:rPr>
  </w:style>
  <w:style w:type="character" w:styleId="cf21" w:customStyle="1">
    <w:name w:val="cf21"/>
    <w:basedOn w:val="DefaultParagraphFont"/>
    <w:qFormat/>
    <w:rsid w:val="00ef28c9"/>
    <w:rPr>
      <w:rFonts w:ascii="Segoe UI" w:hAnsi="Segoe UI" w:cs="Segoe UI"/>
      <w:sz w:val="18"/>
      <w:szCs w:val="18"/>
    </w:rPr>
  </w:style>
  <w:style w:type="character" w:styleId="cf31" w:customStyle="1">
    <w:name w:val="cf31"/>
    <w:basedOn w:val="DefaultParagraphFont"/>
    <w:qFormat/>
    <w:rsid w:val="00ef28c9"/>
    <w:rPr>
      <w:rFonts w:ascii="Segoe UI" w:hAnsi="Segoe UI" w:cs="Segoe UI"/>
      <w:i/>
      <w:iCs/>
      <w:sz w:val="18"/>
      <w:szCs w:val="18"/>
    </w:rPr>
  </w:style>
  <w:style w:type="character" w:styleId="Strong">
    <w:name w:val="Strong"/>
    <w:qFormat/>
    <w:rPr>
      <w:b/>
      <w:bCs/>
    </w:rPr>
  </w:style>
  <w:style w:type="character" w:styleId="Tekstrdowy">
    <w:name w:val="Tekst źródłowy"/>
    <w:qFormat/>
    <w:rPr>
      <w:rFonts w:ascii="Liberation Mono" w:hAnsi="Liberation Mono" w:eastAsia="Liberation Mono" w:cs="Liberation Mono"/>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BalloonText">
    <w:name w:val="Balloon Text"/>
    <w:basedOn w:val="Normal"/>
    <w:link w:val="TekstdymkaZnak"/>
    <w:qFormat/>
    <w:rsid w:val="00a06425"/>
    <w:pPr/>
    <w:rPr>
      <w:rFonts w:ascii="Segoe UI" w:hAnsi="Segoe UI" w:cs="Segoe UI"/>
      <w:sz w:val="18"/>
      <w:szCs w:val="18"/>
    </w:rPr>
  </w:style>
  <w:style w:type="paragraph" w:styleId="ListParagraph">
    <w:name w:val="List Paragraph"/>
    <w:basedOn w:val="Normal"/>
    <w:link w:val="AkapitzlistZnak"/>
    <w:uiPriority w:val="34"/>
    <w:qFormat/>
    <w:rsid w:val="00891e39"/>
    <w:pPr>
      <w:spacing w:before="0" w:after="0"/>
      <w:ind w:left="720"/>
      <w:contextualSpacing/>
    </w:pPr>
    <w:rPr/>
  </w:style>
  <w:style w:type="paragraph" w:styleId="CommentText">
    <w:name w:val="annotation text"/>
    <w:basedOn w:val="Normal"/>
    <w:link w:val="TekstkomentarzaZnak"/>
    <w:rsid w:val="003e5caf"/>
    <w:pPr/>
    <w:rPr>
      <w:sz w:val="20"/>
      <w:szCs w:val="20"/>
    </w:rPr>
  </w:style>
  <w:style w:type="paragraph" w:styleId="annotationsubject">
    <w:name w:val="annotation subject"/>
    <w:basedOn w:val="CommentText"/>
    <w:next w:val="CommentText"/>
    <w:link w:val="TematkomentarzaZnak"/>
    <w:qFormat/>
    <w:rsid w:val="003e5caf"/>
    <w:pPr/>
    <w:rPr>
      <w:b/>
      <w:bCs/>
    </w:rPr>
  </w:style>
  <w:style w:type="paragraph" w:styleId="Gwkaistopka">
    <w:name w:val="Główka i stopka"/>
    <w:basedOn w:val="Normal"/>
    <w:qFormat/>
    <w:pPr/>
    <w:rPr/>
  </w:style>
  <w:style w:type="paragraph" w:styleId="Header">
    <w:name w:val="header"/>
    <w:basedOn w:val="Normal"/>
    <w:link w:val="NagwekZnak"/>
    <w:rsid w:val="00886af0"/>
    <w:pPr>
      <w:tabs>
        <w:tab w:val="clear" w:pos="708"/>
        <w:tab w:val="center" w:pos="4536" w:leader="none"/>
        <w:tab w:val="right" w:pos="9072" w:leader="none"/>
      </w:tabs>
    </w:pPr>
    <w:rPr/>
  </w:style>
  <w:style w:type="paragraph" w:styleId="Footer">
    <w:name w:val="footer"/>
    <w:basedOn w:val="Normal"/>
    <w:link w:val="StopkaZnak"/>
    <w:uiPriority w:val="99"/>
    <w:rsid w:val="00886af0"/>
    <w:pPr>
      <w:tabs>
        <w:tab w:val="clear" w:pos="708"/>
        <w:tab w:val="center" w:pos="4536" w:leader="none"/>
        <w:tab w:val="right" w:pos="9072" w:leader="none"/>
      </w:tabs>
    </w:pPr>
    <w:rPr/>
  </w:style>
  <w:style w:type="paragraph" w:styleId="Default" w:customStyle="1">
    <w:name w:val="Default"/>
    <w:qFormat/>
    <w:rsid w:val="00ae1991"/>
    <w:pPr>
      <w:widowControl/>
      <w:bidi w:val="0"/>
      <w:spacing w:before="0" w:after="0"/>
      <w:jc w:val="left"/>
    </w:pPr>
    <w:rPr>
      <w:rFonts w:ascii="Calibri" w:hAnsi="Calibri" w:cs="Calibri" w:eastAsia="Times New Roman"/>
      <w:color w:val="000000"/>
      <w:kern w:val="0"/>
      <w:sz w:val="24"/>
      <w:szCs w:val="24"/>
      <w:lang w:val="pl-PL" w:eastAsia="pl-PL" w:bidi="ar-SA"/>
    </w:rPr>
  </w:style>
  <w:style w:type="paragraph" w:styleId="pf0" w:customStyle="1">
    <w:name w:val="pf0"/>
    <w:basedOn w:val="Normal"/>
    <w:qFormat/>
    <w:rsid w:val="00ef28c9"/>
    <w:pPr>
      <w:spacing w:beforeAutospacing="1" w:afterAutospacing="1"/>
    </w:pPr>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rsid w:val="00c64b1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7BCD146A8C3142967C476445A140A0" ma:contentTypeVersion="10" ma:contentTypeDescription="Utwórz nowy dokument." ma:contentTypeScope="" ma:versionID="41b1d75f3f3abef01e4476f1c096cfd9">
  <xsd:schema xmlns:xsd="http://www.w3.org/2001/XMLSchema" xmlns:xs="http://www.w3.org/2001/XMLSchema" xmlns:p="http://schemas.microsoft.com/office/2006/metadata/properties" xmlns:ns2="c24315a8-7f6e-4d56-b881-c48260c69978" xmlns:ns3="b9d517b0-2828-406a-b2c9-02cd90f82cc9" targetNamespace="http://schemas.microsoft.com/office/2006/metadata/properties" ma:root="true" ma:fieldsID="76dbef58705ce83304305cb9d731be04" ns2:_="" ns3:_="">
    <xsd:import namespace="c24315a8-7f6e-4d56-b881-c48260c69978"/>
    <xsd:import namespace="b9d517b0-2828-406a-b2c9-02cd90f82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15a8-7f6e-4d56-b881-c48260c699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d517b0-2828-406a-b2c9-02cd90f82c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31b291-cc00-461f-b364-989a8e125edd}" ma:internalName="TaxCatchAll" ma:showField="CatchAllData" ma:web="b9d517b0-2828-406a-b2c9-02cd90f82c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4315a8-7f6e-4d56-b881-c48260c69978">
      <Terms xmlns="http://schemas.microsoft.com/office/infopath/2007/PartnerControls"/>
    </lcf76f155ced4ddcb4097134ff3c332f>
    <TaxCatchAll xmlns="b9d517b0-2828-406a-b2c9-02cd90f82cc9" xsi:nil="true"/>
  </documentManagement>
</p:properties>
</file>

<file path=customXml/itemProps1.xml><?xml version="1.0" encoding="utf-8"?>
<ds:datastoreItem xmlns:ds="http://schemas.openxmlformats.org/officeDocument/2006/customXml" ds:itemID="{FC4A75BC-D7F0-4E07-8B59-04925B2BB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315a8-7f6e-4d56-b881-c48260c69978"/>
    <ds:schemaRef ds:uri="b9d517b0-2828-406a-b2c9-02cd90f82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3FCB6-651D-43F6-888E-77031C0F0C1D}">
  <ds:schemaRefs>
    <ds:schemaRef ds:uri="http://schemas.openxmlformats.org/officeDocument/2006/bibliography"/>
  </ds:schemaRefs>
</ds:datastoreItem>
</file>

<file path=customXml/itemProps3.xml><?xml version="1.0" encoding="utf-8"?>
<ds:datastoreItem xmlns:ds="http://schemas.openxmlformats.org/officeDocument/2006/customXml" ds:itemID="{B512BAA3-7A59-4449-A5B3-18323102F77A}">
  <ds:schemaRefs>
    <ds:schemaRef ds:uri="http://schemas.microsoft.com/sharepoint/v3/contenttype/forms"/>
  </ds:schemaRefs>
</ds:datastoreItem>
</file>

<file path=customXml/itemProps4.xml><?xml version="1.0" encoding="utf-8"?>
<ds:datastoreItem xmlns:ds="http://schemas.openxmlformats.org/officeDocument/2006/customXml" ds:itemID="{4FDCED36-7DDA-4F88-AA09-3183EC20FCBB}">
  <ds:schemaRefs>
    <ds:schemaRef ds:uri="http://schemas.microsoft.com/office/2006/metadata/properties"/>
    <ds:schemaRef ds:uri="http://schemas.microsoft.com/office/infopath/2007/PartnerControls"/>
    <ds:schemaRef ds:uri="c24315a8-7f6e-4d56-b881-c48260c69978"/>
    <ds:schemaRef ds:uri="b9d517b0-2828-406a-b2c9-02cd90f82cc9"/>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Application>LibreOffice/25.2.7.2$Windows_X86_64 LibreOffice_project/5cbfd1ab6520636bb5f7b99185aa69bd7456825d</Application>
  <AppVersion>15.0000</AppVersion>
  <Pages>24</Pages>
  <Words>5539</Words>
  <Characters>38443</Characters>
  <CharactersWithSpaces>43540</CharactersWithSpaces>
  <Paragraphs>441</Paragraphs>
  <Company>MSWIA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2024-11-12T08:44:00Z</dcterms:created>
  <dc:creator>BAF</dc:creator>
  <dc:description/>
  <dc:language>pl-PL</dc:language>
  <cp:lastModifiedBy/>
  <dcterms:modified xsi:type="dcterms:W3CDTF">2026-06-17T13:26:35Z</dcterms:modified>
  <cp:revision>157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0x0101002F7BCD146A8C3142967C476445A140A0</vt:lpwstr>
  </property>
  <property fmtid="{D5CDD505-2E9C-101B-9397-08002B2CF9AE}" pid="3" name="MediaServiceImageTags">
    <vt:lpwstr/>
  </property>
</Properties>
</file>